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第40批-外接球与染色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M-T-368-E1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把角平分线条件翻译成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（中位线），再在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中用两边之和大于第三边得上界，用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为钝角得下界。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M-T-368-V1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Nrvert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把各段用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表示，**在两个三角形中各用一次余弦定理**（本题型的名字就来源于此）：先在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M-T-368-V2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双曲线过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各给一个定义式，把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中**各用一次余弦定理**，两式相除消掉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M-T-368-V3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中各用一次余弦定理，关键是利用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**互补**。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M-T-370-V1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参数化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，用抛物线定义得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PFrvert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，再求导找比值最大点（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），最后用椭圆定义求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，而焦距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FF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M-T-370-V3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椭圆是「竖着」的（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/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在前），焦点在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轴上；由共焦点得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，再由正三角形定出半弦长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，代入椭圆方程解出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M-T-293-E1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三条线段**两两垂直**，可直接补成长方体：外接球直径就是长方体的体对角线。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M-T-293-V1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先由体积定出底面积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，再用长方体模板写出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；最后用基本不等式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≥2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M-T-379-V1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个顶点，底面四边形的**对角顶点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不相邻** —— 这是唯一的不确定性来源，按「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同色 /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异色」分类。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M-T-293-V3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「投影是垂心」等价于**三组对棱互相垂直**（三垂线定理），于是可以干净地建系：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沿坐标轴，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落在第三根轴上。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