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114300" distT="114300" distL="114300" distR="114300">
            <wp:extent cx="1009650" cy="800100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04" w:line="241" w:lineRule="auto"/>
        <w:ind w:left="3548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ACME Truques Financeiros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39" w:lineRule="auto"/>
        <w:ind w:left="4225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115" w:lineRule="auto"/>
        <w:ind w:left="3094" w:right="2007" w:hanging="1176.9999999999993"/>
        <w:jc w:val="both"/>
        <w:rPr/>
      </w:pPr>
      <w:r w:rsidDel="00000000" w:rsidR="00000000" w:rsidRPr="00000000">
        <w:rPr>
          <w:rtl w:val="0"/>
        </w:rPr>
        <w:t xml:space="preserve">RELATÓRIO DE GESTÃO DE AMEAÇAS, VULNERABILIDADES E RISCO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83.0" w:type="dxa"/>
        <w:tblBorders>
          <w:top w:color="2b2b2b" w:space="0" w:sz="6" w:val="single"/>
          <w:left w:color="2b2b2b" w:space="0" w:sz="6" w:val="single"/>
          <w:bottom w:color="2b2b2b" w:space="0" w:sz="6" w:val="single"/>
          <w:right w:color="2b2b2b" w:space="0" w:sz="6" w:val="single"/>
          <w:insideH w:color="2b2b2b" w:space="0" w:sz="6" w:val="single"/>
          <w:insideV w:color="2b2b2b" w:space="0" w:sz="6" w:val="single"/>
        </w:tblBorders>
        <w:tblLayout w:type="fixed"/>
        <w:tblLook w:val="0000"/>
      </w:tblPr>
      <w:tblGrid>
        <w:gridCol w:w="900"/>
        <w:gridCol w:w="1275"/>
        <w:gridCol w:w="1605"/>
        <w:gridCol w:w="2055"/>
        <w:gridCol w:w="3450"/>
        <w:tblGridChange w:id="0">
          <w:tblGrid>
            <w:gridCol w:w="900"/>
            <w:gridCol w:w="1275"/>
            <w:gridCol w:w="1605"/>
            <w:gridCol w:w="2055"/>
            <w:gridCol w:w="345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8">
            <w:pPr>
              <w:spacing w:line="250" w:lineRule="auto"/>
              <w:ind w:left="15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9">
            <w:pPr>
              <w:spacing w:line="250" w:lineRule="auto"/>
              <w:ind w:left="1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8080" w:space="0" w:sz="6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spacing w:line="250" w:lineRule="auto"/>
              <w:ind w:left="1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Revisor  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8080" w:space="0" w:sz="6" w:val="single"/>
            </w:tcBorders>
            <w:shd w:fill="ccccc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808080" w:space="0" w:sz="6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6" w:val="single"/>
            </w:tcBorders>
          </w:tcPr>
          <w:p w:rsidR="00000000" w:rsidDel="00000000" w:rsidP="00000000" w:rsidRDefault="00000000" w:rsidRPr="00000000" w14:paraId="0000000E">
            <w:pPr>
              <w:spacing w:line="250" w:lineRule="auto"/>
              <w:ind w:left="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Adyellen Alves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8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Durante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8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Elaboração 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gestão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ameaças, vulnerabilidade e riscos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80808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4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bottom w:color="808080" w:space="0" w:sz="6" w:val="single"/>
            </w:tcBorders>
          </w:tcPr>
          <w:p w:rsidR="00000000" w:rsidDel="00000000" w:rsidP="00000000" w:rsidRDefault="00000000" w:rsidRPr="00000000" w14:paraId="00000013">
            <w:pPr>
              <w:spacing w:line="250" w:lineRule="auto"/>
              <w:ind w:left="1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21/12/2024</w:t>
            </w:r>
          </w:p>
        </w:tc>
        <w:tc>
          <w:tcPr>
            <w:tcBorders>
              <w:bottom w:color="80808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Adyellen Alves</w:t>
            </w:r>
          </w:p>
        </w:tc>
        <w:tc>
          <w:tcPr>
            <w:tcBorders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82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Durante</w:t>
            </w:r>
          </w:p>
        </w:tc>
        <w:tc>
          <w:tcPr>
            <w:tcBorders>
              <w:bottom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8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Adição das referências bibliográficas e agradecimentos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8"/>
        </w:numPr>
        <w:tabs>
          <w:tab w:val="left" w:leader="none" w:pos="609"/>
          <w:tab w:val="left" w:leader="none" w:pos="9097"/>
        </w:tabs>
      </w:pPr>
      <w:bookmarkStart w:colFirst="0" w:colLast="0" w:name="_heading=h.ag4zxk6jpe9m" w:id="0"/>
      <w:bookmarkEnd w:id="0"/>
      <w:r w:rsidDel="00000000" w:rsidR="00000000" w:rsidRPr="00000000">
        <w:rPr>
          <w:shd w:fill="e6e6e6" w:val="clear"/>
          <w:rtl w:val="0"/>
        </w:rPr>
        <w:t xml:space="preserve">INVENTÁRIO DOS ATIVOS TECNOLÓGICOS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3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Descrever as ameaças, vulnerabilidades e riscos identificados no ambiente da ACME Truques Financeiros, com objetivos de disponibilizar as medidas mitigatórias e avaliar o impacto no negócio, incluindo ativos tecnológicos, processos e práticas de segurança.</w:t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8"/>
        </w:numPr>
        <w:tabs>
          <w:tab w:val="left" w:leader="none" w:pos="463"/>
        </w:tabs>
      </w:pPr>
      <w:bookmarkStart w:colFirst="0" w:colLast="0" w:name="_heading=h.mlsuv4l15sq2" w:id="1"/>
      <w:bookmarkEnd w:id="1"/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1C">
      <w:pPr>
        <w:tabs>
          <w:tab w:val="left" w:leader="none" w:pos="463"/>
        </w:tabs>
        <w:spacing w:after="240" w:befor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ACME Truques Financeiros foi alvo de um ataque cibernético que resultou na exposição de dados sensíveis de clientes. Como uma empresa listada na bolsa, é crucial atender às exigências da CVM e BACEN para evitar futuras ocorrências, garantir a confiabilidade e transparência junto aos clientes e investidores.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8"/>
        </w:numPr>
        <w:tabs>
          <w:tab w:val="left" w:leader="none" w:pos="463"/>
        </w:tabs>
        <w:spacing w:after="0" w:before="0" w:line="240" w:lineRule="auto"/>
        <w:ind w:left="463" w:right="0" w:hanging="420"/>
        <w:jc w:val="left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E">
      <w:pPr>
        <w:spacing w:after="240" w:before="240" w:line="23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e detalhar processos fundamentais de cibersegurança, conforme descritos abaixo: 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240" w:line="23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Gestão de Ameaças, Vulnerabilidade e riscos: Garantindo que todas as ameaças, vulnerabilidades e riscos sejam identificadas, avaliadas e tratadas;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0" w:beforeAutospacing="0" w:line="23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Plano de ação: Definição de um plano estratégico para mitigar os riscos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2"/>
        </w:tabs>
        <w:spacing w:after="0" w:before="119" w:line="235" w:lineRule="auto"/>
        <w:ind w:left="370" w:right="24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2"/>
        </w:tabs>
        <w:spacing w:after="0" w:before="119" w:line="235" w:lineRule="auto"/>
        <w:ind w:left="0" w:right="244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2"/>
        </w:tabs>
        <w:spacing w:after="0" w:before="119" w:line="235" w:lineRule="auto"/>
        <w:ind w:left="0" w:right="24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8"/>
        </w:numPr>
        <w:tabs>
          <w:tab w:val="left" w:leader="none" w:pos="609"/>
          <w:tab w:val="left" w:leader="none" w:pos="9097"/>
        </w:tabs>
        <w:spacing w:after="0" w:before="0" w:line="240" w:lineRule="auto"/>
        <w:ind w:left="609" w:right="0" w:hanging="566"/>
        <w:jc w:val="left"/>
        <w:rPr/>
      </w:pPr>
      <w:r w:rsidDel="00000000" w:rsidR="00000000" w:rsidRPr="00000000">
        <w:rPr>
          <w:shd w:fill="e6e6e6" w:val="clear"/>
          <w:rtl w:val="0"/>
        </w:rPr>
        <w:t xml:space="preserve">INVENTÁRIO DOS ATIVOS TECNOLÓGICOS</w:t>
      </w:r>
      <w:r w:rsidDel="00000000" w:rsidR="00000000" w:rsidRPr="00000000">
        <w:rPr>
          <w:color w:val="000000"/>
          <w:shd w:fill="e6e6e6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tabs>
          <w:tab w:val="left" w:leader="none" w:pos="302"/>
        </w:tabs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Firewalls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tabs>
          <w:tab w:val="left" w:leader="none" w:pos="302"/>
        </w:tabs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Servidores Web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tabs>
          <w:tab w:val="left" w:leader="none" w:pos="302"/>
        </w:tabs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Roteadores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tabs>
          <w:tab w:val="left" w:leader="none" w:pos="302"/>
        </w:tabs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Servidor de Banco de Dados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tabs>
          <w:tab w:val="left" w:leader="none" w:pos="302"/>
        </w:tabs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Servidores de Desenvolvimento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tabs>
          <w:tab w:val="left" w:leader="none" w:pos="302"/>
        </w:tabs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Servidor de Diretório (AD)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tabs>
          <w:tab w:val="left" w:leader="none" w:pos="302"/>
        </w:tabs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Servidores de Aplicação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tabs>
          <w:tab w:val="left" w:leader="none" w:pos="302"/>
        </w:tabs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Servidor de Email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tabs>
          <w:tab w:val="left" w:leader="none" w:pos="302"/>
        </w:tabs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Sistema de acesso às faturas de cartões de crédito (clientes e funcionários)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tabs>
          <w:tab w:val="left" w:leader="none" w:pos="302"/>
        </w:tabs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Sistema de processamento de números de cartões de crédito (funcionários apenas)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tabs>
          <w:tab w:val="left" w:leader="none" w:pos="302"/>
        </w:tabs>
        <w:spacing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Estações de Trabalho (notebooks) com acesso remoto via VPN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2"/>
        </w:tabs>
        <w:spacing w:after="0" w:before="114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302"/>
        </w:tabs>
        <w:spacing w:before="114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Observações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tabs>
          <w:tab w:val="left" w:leader="none" w:pos="302"/>
        </w:tabs>
        <w:spacing w:before="11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tabs>
          <w:tab w:val="left" w:leader="none" w:pos="302"/>
        </w:tabs>
        <w:spacing w:after="0" w:afterAutospacing="0" w:before="114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servidores e sistemas estão na mesma rede.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tabs>
          <w:tab w:val="left" w:leader="none" w:pos="302"/>
        </w:tabs>
        <w:spacing w:before="0" w:beforeAutospacing="0" w:lineRule="auto"/>
        <w:ind w:left="720" w:hanging="360"/>
        <w:jc w:val="both"/>
        <w:rPr>
          <w:sz w:val="24"/>
          <w:szCs w:val="24"/>
          <w:u w:val="none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40" w:w="11900" w:orient="portrait"/>
          <w:pgMar w:bottom="460" w:top="1420" w:left="1417" w:right="1133" w:header="273" w:footer="272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O servidor de banco de dados armazena informações de cartões de crédito.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8"/>
        </w:numPr>
        <w:tabs>
          <w:tab w:val="left" w:leader="none" w:pos="609"/>
          <w:tab w:val="left" w:leader="none" w:pos="9097"/>
        </w:tabs>
        <w:spacing w:after="0" w:before="200" w:line="240" w:lineRule="auto"/>
        <w:ind w:left="609" w:right="0" w:hanging="566"/>
        <w:jc w:val="both"/>
        <w:rPr/>
      </w:pPr>
      <w:r w:rsidDel="00000000" w:rsidR="00000000" w:rsidRPr="00000000">
        <w:rPr>
          <w:color w:val="000000"/>
          <w:shd w:fill="e6e6e6" w:val="clear"/>
          <w:rtl w:val="0"/>
        </w:rPr>
        <w:t xml:space="preserve">GESTÃO DE </w:t>
      </w:r>
      <w:r w:rsidDel="00000000" w:rsidR="00000000" w:rsidRPr="00000000">
        <w:rPr>
          <w:shd w:fill="e6e6e6" w:val="clear"/>
          <w:rtl w:val="0"/>
        </w:rPr>
        <w:t xml:space="preserve">AMEAÇAS</w:t>
      </w:r>
      <w:r w:rsidDel="00000000" w:rsidR="00000000" w:rsidRPr="00000000">
        <w:rPr>
          <w:color w:val="000000"/>
          <w:shd w:fill="e6e6e6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 como objetivo listar as ameaças identificadas no ambiente, classificando-as conforme a sua natureza (internas, externas, naturais, etc.).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8"/>
        </w:numPr>
        <w:tabs>
          <w:tab w:val="left" w:leader="none" w:pos="463"/>
        </w:tabs>
      </w:pPr>
      <w:bookmarkStart w:colFirst="0" w:colLast="0" w:name="_heading=h.llnvtsuy3lhq" w:id="2"/>
      <w:bookmarkEnd w:id="2"/>
      <w:r w:rsidDel="00000000" w:rsidR="00000000" w:rsidRPr="00000000">
        <w:rPr>
          <w:rtl w:val="0"/>
        </w:rPr>
        <w:t xml:space="preserve">Livro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1635"/>
        <w:gridCol w:w="1830"/>
        <w:gridCol w:w="1680"/>
        <w:gridCol w:w="1440"/>
        <w:gridCol w:w="1080"/>
        <w:gridCol w:w="1260"/>
        <w:tblGridChange w:id="0">
          <w:tblGrid>
            <w:gridCol w:w="420"/>
            <w:gridCol w:w="1635"/>
            <w:gridCol w:w="1830"/>
            <w:gridCol w:w="1680"/>
            <w:gridCol w:w="1440"/>
            <w:gridCol w:w="1080"/>
            <w:gridCol w:w="1260"/>
          </w:tblGrid>
        </w:tblGridChange>
      </w:tblGrid>
      <w:tr>
        <w:trPr>
          <w:cantSplit w:val="0"/>
          <w:trHeight w:val="543.955078124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Fonte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Probabilidade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Gravidade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Acesso não autorizado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Identificar múltiplas tentativas de Login com falhas de um mesmo IP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Logs de Active Directory ou firewall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Extração de dados sensíveis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Identificar o tráfego de saída de informações para emails ou servidores externos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Logs de Firewall ou proxies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Tentativa de degradação do serviço via DDos - Bot Herder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Identificar aumento abrupto de 50% acima de requisições esperadas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Logs do CDN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Tentativas de Phishing em E-mails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Identificação de e-mails e presença de anexos maliciosos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Logs de email (Microsoft Defender) e logs de tráfego Web (Firewall ou Akamai)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IPs maliciosos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Identificar e correlacionar IPs que estão em blacklists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Firewalls, Akamai, IDS/IPS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Fraude de transações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Identificar e correlacionar transações suspeitas através do perfil do cliente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Logs de transações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Vulnerabilidade em APIs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Identificar aumento abrupto de requisições suspeitas e excesso de falhas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Logs de APIs, Kibana, WAF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Manipulação de versionamento de código - insider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Identificar novos clientes que não passaram pela jornada completa de criação de conta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Logs de APIs, WAF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Conexão de dispositivos USB não autorizados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Identificar o plugin de dispositivos USB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Logs DLP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Detectar Ransomware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Identificar e bloquear tentativas de malware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Firewalls e IDS/IPS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Vulnerabilidade de Software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Identificar vulnerabilidades no software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CVE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Treinamento em Segurança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treinamento de segurança e conscientização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Plataformas de e-learning e simulação de phishing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Resposta a Incidentes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Monitoração de dados em tempo real e alertas de segurança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Logs de Dynatrace, SIEM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Monitoramento de Users com acesso privilegiados - Insider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Monitoração das atividades e acessos simultâneos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Logs do IAM, SIEM, firewall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Gerenciamento de Patches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Monitoração e aplicação de patches de segurança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Ferramenta de gerenciamento de patches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8"/>
        </w:numPr>
        <w:tabs>
          <w:tab w:val="left" w:leader="none" w:pos="463"/>
        </w:tabs>
        <w:spacing w:after="0" w:before="0" w:line="240" w:lineRule="auto"/>
        <w:ind w:left="463" w:right="0" w:hanging="420"/>
        <w:jc w:val="both"/>
        <w:rPr/>
      </w:pPr>
      <w:r w:rsidDel="00000000" w:rsidR="00000000" w:rsidRPr="00000000">
        <w:rPr>
          <w:rtl w:val="0"/>
        </w:rPr>
        <w:t xml:space="preserve">Tecnologias de mercado </w:t>
      </w:r>
      <w:r w:rsidDel="00000000" w:rsidR="00000000" w:rsidRPr="00000000">
        <w:rPr>
          <w:rtl w:val="0"/>
        </w:rPr>
        <w:t xml:space="preserve">monitoração e/ou tratamentos de ameaças cibernéticas</w:t>
      </w:r>
    </w:p>
    <w:p w:rsidR="00000000" w:rsidDel="00000000" w:rsidP="00000000" w:rsidRDefault="00000000" w:rsidRPr="00000000" w14:paraId="000000AF">
      <w:pPr>
        <w:tabs>
          <w:tab w:val="left" w:leader="none" w:pos="4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463"/>
        </w:tabs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4110"/>
        <w:tblGridChange w:id="0">
          <w:tblGrid>
            <w:gridCol w:w="1500"/>
            <w:gridCol w:w="1500"/>
            <w:gridCol w:w="1500"/>
            <w:gridCol w:w="41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Fabricante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Firewall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Fortinet FortiGate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Fortinet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Ferramenta robusta na qual oferece funcionalidades como: inspeção de pacotes, controle de aplicativos e proteção contra ameaças de rede.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Symantec Data Loss Prevention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Broadcom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Ferramenta que fornece proteção de dados, com possibilidade de criação de políticas de DLP e com isso diminuindo complexibilidade. Além de facilitar a conformidade com as leis globais de proteção de dados e requisitos regulatórios.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CrowdStrike Falcon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CrowdStrike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Fornece proteção durante todo o ciclo de vida da ameaça, combinando aprendizado de máquina, IA e análise comportamental. Eliminando a complexidade e simplificando a implantação por ser nativo na nuvem. Além de ser reconhecido por sua eficácia, rapidez e resposta rápida a ameaças de endpoints.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tabs>
          <w:tab w:val="left" w:leader="none" w:pos="4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numPr>
          <w:ilvl w:val="0"/>
          <w:numId w:val="8"/>
        </w:numPr>
        <w:tabs>
          <w:tab w:val="left" w:leader="none" w:pos="609"/>
          <w:tab w:val="left" w:leader="none" w:pos="9097"/>
        </w:tabs>
        <w:spacing w:before="200" w:lineRule="auto"/>
        <w:jc w:val="both"/>
      </w:pPr>
      <w:bookmarkStart w:colFirst="0" w:colLast="0" w:name="_heading=h.hpxtrf7g5a3n" w:id="3"/>
      <w:bookmarkEnd w:id="3"/>
      <w:r w:rsidDel="00000000" w:rsidR="00000000" w:rsidRPr="00000000">
        <w:rPr>
          <w:shd w:fill="e6e6e6" w:val="clear"/>
          <w:rtl w:val="0"/>
        </w:rPr>
        <w:t xml:space="preserve">GESTÃO DE VULNERABILIDADES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 como objetivo detalhar as vulnerabilidades encontradas nas infraestruturas, sistemas, processos e pessoas.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numPr>
          <w:ilvl w:val="1"/>
          <w:numId w:val="8"/>
        </w:numPr>
        <w:tabs>
          <w:tab w:val="left" w:leader="none" w:pos="463"/>
        </w:tabs>
        <w:jc w:val="both"/>
      </w:pPr>
      <w:bookmarkStart w:colFirst="0" w:colLast="0" w:name="_heading=h.2ah7aav4wm5a" w:id="4"/>
      <w:bookmarkEnd w:id="4"/>
      <w:r w:rsidDel="00000000" w:rsidR="00000000" w:rsidRPr="00000000">
        <w:rPr>
          <w:rtl w:val="0"/>
        </w:rPr>
        <w:t xml:space="preserve">Vulnerabilidades, detecção e mitigação</w:t>
      </w:r>
    </w:p>
    <w:p w:rsidR="00000000" w:rsidDel="00000000" w:rsidP="00000000" w:rsidRDefault="00000000" w:rsidRPr="00000000" w14:paraId="000000C9">
      <w:pPr>
        <w:tabs>
          <w:tab w:val="left" w:leader="none" w:pos="4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463"/>
        </w:tabs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680"/>
        <w:gridCol w:w="1935"/>
        <w:gridCol w:w="1515"/>
        <w:gridCol w:w="870"/>
        <w:gridCol w:w="825"/>
        <w:gridCol w:w="2085"/>
        <w:tblGridChange w:id="0">
          <w:tblGrid>
            <w:gridCol w:w="435"/>
            <w:gridCol w:w="1680"/>
            <w:gridCol w:w="1935"/>
            <w:gridCol w:w="1515"/>
            <w:gridCol w:w="870"/>
            <w:gridCol w:w="825"/>
            <w:gridCol w:w="20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Vulnerabilidade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Detecção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Mitigação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Pontuações CVSS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CWE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SQL Injection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Detectado através de WAF tráfego malicioso com tentativas de SQL injection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Criação de políticas em gateways, atualização de patches, boas práticas de codificação segundo a OWASP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CVE-2024-56053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CWE-89: Improper Neutralization of Special Elements used in an SQL Command ('SQL Injection')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Vazamento de dados de APIs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Monitoramento de logs com ferramentas que analisam o tráfego de APIs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Implementação de políticas de segurança com autenticação e autorização adequadas, require SSL/TLS, requerimento de certificado digital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CVE-2021-44228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9.3 e 10.0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CWE-20, CWE-400, CWE-502, CWE-917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Controle de Acesso Quebrado (Broken Access Control)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Detectado através de logs de acesso com falhas e padrões suspeitos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Utilizar autenticação de múltiplo fator (MFA), monitorar logs de acesso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CVE-2024-22234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CWE-284: Improper Access Control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Escalação de Privilégios Vertical e Horizontal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Detectado através de monitoramento de políticas de segurança de controle de acesso e testes de penetração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o princípio do menor privilégio, aplicar MFA e aplicação de patches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CVE-2024-56053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CWE-89: Improper Neutralization of Special Elements used in an SQL Command ('SQL Injection')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Falta de Inspeção Profunda de Pacotes nos Firewalls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Detectado através de testes de penetração, análise dos logs de Firewall e monitoração de tráfego de rede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Atualizar e configurar firewalls adequadamente, segmentação de rede, usar ferramentas de detecção e prevenção de intrusão (IDS/IPS)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CVE-2020-1988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6.8 e 8.8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CWE-352: Cross-Site Request Forgery (CSRF)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Falta de Segmentação da Rede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Detectado através de testes de penetração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Implantar firewall, VPNs, aplicação de microsegmentação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CVE-2020-0601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5.8 e 8.1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CWE-295: Improper Certificate Validation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VPN com Autenticação de Dois Fatores Ausente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Detectado através de testes de penetração e auditoria de segurança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Habilitar autenticação de dois fatores utilizando OTP ou Google Authenticator, aplicar expiração de senhas e criar regras para senhas fortes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CVE-2020-10189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10.0 e 9.8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CWE-502: Deserialization of Untrusted Data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Falta de Criptografia de Dados Sensíveis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Detectado através de testes de penetração e auditoria de segurança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Implementação de criptografia em repouso e em trânsito utilizando protocolos TLS/SSL, auditoria e monitoração do acesso ao banco de dados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CVE-2020-14181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5.0 e 5.3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CWE-200: Exposure of Sensitive Information to an Unauthorized Actor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Antivírus Desatualizados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Detectado através de incidentes de segurança e testes de penetração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Implementação de atualizações automáticas, proteção em camadas, auditorias regulares e simulações de malware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CVE-2020-1350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CWE: não se aplica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Porta RDP Aberta e Exposta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Detectado através de monitoramento de tráfego de rede e teste de intrusão de IDS/IPS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Fechar a porta RDP através de firewall, utilizar VPN, MFA, atualização de patches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CVE-2018-0841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9.3 e 8.8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CWE: não se aplica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XSS (Cross-Site Scripting)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Detectado através de monitoramento de logs e varredura com burp suite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Uso de headers (HTTPS) e certificados, monitoração de logs, configuração de autenticação e autorização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CVE-2016-10033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7.5 e 9.8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CWE-77: Improper Neutralization of Special Elements used in a Command ('Command Injection')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Ausência de Plano de Resposta a Incidentes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Detectado através de auditoria de segurança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SIEM, realizar testes de penetração regularmente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CVE-2021-22986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CWE-918: Server-Side Request Forgery (SSRF)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Falta de Testes Regulares de Penetração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Falta de conformidade com PCI DSS ou ISO 27001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Estabelecer uma política de testes de penetração regulares, teste em diferentes camadas, contratar consultorias para testes de penetração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CVE-2021-22986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CWE-918: Server-Side Request Forgery (SSRF)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Sistemas Legados sem Suporte e Atualizações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Detectado através de auditoria de segurança e logs de segurança dos servidores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Aplicação de patches, monitoramento contínuo, conscientização interna para versionamento dos sistemas legados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CVE-2017-0144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CWE-306, CWE-94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Backups Não Criptografados ou Armazenados no Mesmo Ambiente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Detectado através de auditoria de segurança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Aplicação de criptografia em todos os backups, automatização de backups e auditorias frequentes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CVE-2021-22910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CWE-75: Failure to Sanitize Special Elements into a Different Plane (Special Element Injection)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Configuração de Roteadores com Credenciais Padrão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Detectado através de análise de configuração de roteador e testes de penetração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Aplicação de configuração adequada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CVE-2020-10135, CVE-2019-14899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CWE-290, CWE-757, CWE-300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Vulnerabilidade XXE (XML External Entity)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Detectado através de análise de code review e análise de logs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Utilização de parses seguros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CVE-2017-12149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CWE-502: Deserialization of Untrusted Data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Vulnerabilidade CSRF (Cross-Site Request Forgery)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Detectado através de análise de code review e análise de logs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Utilização de tokens, autenticação de sessão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CVE-2018-11776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CWE: não se aplica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Man-in-the-Middle (MITM)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Detectado através de monitoramento de certificados SSL e análise de padrões de tráfego anômalo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Verificação de certificados SSL/TLS, uso de autenticação de múltiplos fatores (MFA)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CVE-2019-1234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CWE-300: Improper Authorization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Zero-Day Exploits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Detectado através de monitoramento de comportamento anômalo, testes de penetração e auditoria de segurança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Aplicação de patches, uso de detecção de intrusão e prevenção (IDS/IPS), uso de WAF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CVE-2024-0001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CWE-552: Exposure of Information Through Sent Data</w:t>
            </w:r>
          </w:p>
        </w:tc>
      </w:tr>
    </w:tbl>
    <w:p w:rsidR="00000000" w:rsidDel="00000000" w:rsidP="00000000" w:rsidRDefault="00000000" w:rsidRPr="00000000" w14:paraId="0000015E">
      <w:pPr>
        <w:tabs>
          <w:tab w:val="left" w:leader="none" w:pos="4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leader="none" w:pos="4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numPr>
          <w:ilvl w:val="1"/>
          <w:numId w:val="8"/>
        </w:numPr>
        <w:tabs>
          <w:tab w:val="left" w:leader="none" w:pos="463"/>
        </w:tabs>
        <w:jc w:val="both"/>
      </w:pPr>
      <w:bookmarkStart w:colFirst="0" w:colLast="0" w:name="_heading=h.sdnod3ghmdfj" w:id="5"/>
      <w:bookmarkEnd w:id="5"/>
      <w:r w:rsidDel="00000000" w:rsidR="00000000" w:rsidRPr="00000000">
        <w:rPr>
          <w:rtl w:val="0"/>
        </w:rPr>
        <w:t xml:space="preserve">Tecnologias de mercado para detecção e orquestração de vulnerabilidades</w:t>
      </w:r>
    </w:p>
    <w:p w:rsidR="00000000" w:rsidDel="00000000" w:rsidP="00000000" w:rsidRDefault="00000000" w:rsidRPr="00000000" w14:paraId="00000161">
      <w:pPr>
        <w:tabs>
          <w:tab w:val="left" w:leader="none" w:pos="4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463"/>
        </w:tabs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7.2448303775116"/>
        <w:gridCol w:w="1457.2448303775116"/>
        <w:gridCol w:w="1457.2448303775116"/>
        <w:gridCol w:w="4983.777319891089"/>
        <w:tblGridChange w:id="0">
          <w:tblGrid>
            <w:gridCol w:w="1457.2448303775116"/>
            <w:gridCol w:w="1457.2448303775116"/>
            <w:gridCol w:w="1457.2448303775116"/>
            <w:gridCol w:w="4983.77731989108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Fabricante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CrowdStrike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Falcon Spotlight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Falcon Spotlight é uma solução de gerenciamento de vulnerabilidades que integra detecção em tempo real e orquestração de resposta.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Palo Alto Networks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Cortex XSOAR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Cortex XSOAR é uma plataforma de orquestração de segurança que integra a detecção de vulnerabilidades com automação de resposta. A solução permite que as equipes de segurança coordenem e automatizem respostas a incidentes, gerenciem vulnerabilidades e melhorarem o tempo de remediação. Ele é altamente flexível, permitindo integrações com várias fontes de dados de segurança, como sistemas de SIEM, firewalls e outras ferramentas de gerenciamento de vulnerabilidades.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Qualys Vulnerability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Plataforma baseada em nuvem, fornece visibilidade em tempo real, integração com outras soluções de segurança e automação para detecção e remediação.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tabs>
          <w:tab w:val="left" w:leader="none" w:pos="463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leader="none" w:pos="4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numPr>
          <w:ilvl w:val="0"/>
          <w:numId w:val="8"/>
        </w:numPr>
        <w:tabs>
          <w:tab w:val="left" w:leader="none" w:pos="609"/>
          <w:tab w:val="left" w:leader="none" w:pos="9097"/>
        </w:tabs>
        <w:spacing w:before="200" w:lineRule="auto"/>
        <w:jc w:val="both"/>
      </w:pPr>
      <w:bookmarkStart w:colFirst="0" w:colLast="0" w:name="_heading=h.eji4f7xgti1" w:id="6"/>
      <w:bookmarkEnd w:id="6"/>
      <w:r w:rsidDel="00000000" w:rsidR="00000000" w:rsidRPr="00000000">
        <w:rPr>
          <w:shd w:fill="e6e6e6" w:val="clear"/>
          <w:rtl w:val="0"/>
        </w:rPr>
        <w:t xml:space="preserve">GESTÃO DE RISCOS</w:t>
        <w:tab/>
      </w:r>
    </w:p>
    <w:p w:rsidR="00000000" w:rsidDel="00000000" w:rsidP="00000000" w:rsidRDefault="00000000" w:rsidRPr="00000000" w14:paraId="00000176">
      <w:pPr>
        <w:tabs>
          <w:tab w:val="left" w:leader="none" w:pos="609"/>
          <w:tab w:val="left" w:leader="none" w:pos="9097"/>
        </w:tabs>
        <w:ind w:left="6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before="1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 como objetivo realizar a combinação de ameaça e vulnerabilidade identificada, avaliando o risco que ela representa para a organização..</w:t>
      </w:r>
    </w:p>
    <w:p w:rsidR="00000000" w:rsidDel="00000000" w:rsidP="00000000" w:rsidRDefault="00000000" w:rsidRPr="00000000" w14:paraId="00000178">
      <w:pPr>
        <w:spacing w:before="1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left" w:leader="none" w:pos="609"/>
          <w:tab w:val="left" w:leader="none" w:pos="909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numPr>
          <w:ilvl w:val="1"/>
          <w:numId w:val="8"/>
        </w:numPr>
        <w:tabs>
          <w:tab w:val="left" w:leader="none" w:pos="463"/>
        </w:tabs>
        <w:jc w:val="both"/>
      </w:pPr>
      <w:bookmarkStart w:colFirst="0" w:colLast="0" w:name="_heading=h.slrkg5725ne5" w:id="7"/>
      <w:bookmarkEnd w:id="7"/>
      <w:r w:rsidDel="00000000" w:rsidR="00000000" w:rsidRPr="00000000">
        <w:rPr>
          <w:rtl w:val="0"/>
        </w:rPr>
        <w:t xml:space="preserve">Sugestão de Metodologia/Framework: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194295</wp:posOffset>
            </wp:positionV>
            <wp:extent cx="1486217" cy="1206206"/>
            <wp:effectExtent b="0" l="0" r="0" t="0"/>
            <wp:wrapSquare wrapText="bothSides" distB="114300" distT="114300" distL="114300" distR="11430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6217" cy="1206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B">
      <w:pPr>
        <w:tabs>
          <w:tab w:val="left" w:leader="none" w:pos="463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tabs>
          <w:tab w:val="left" w:leader="none" w:pos="463"/>
        </w:tabs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NIST (RMF):</w:t>
      </w:r>
    </w:p>
    <w:p w:rsidR="00000000" w:rsidDel="00000000" w:rsidP="00000000" w:rsidRDefault="00000000" w:rsidRPr="00000000" w14:paraId="0000017D">
      <w:pPr>
        <w:tabs>
          <w:tab w:val="left" w:leader="none" w:pos="463"/>
        </w:tabs>
        <w:ind w:left="720" w:firstLine="0"/>
        <w:rPr/>
      </w:pPr>
      <w:r w:rsidDel="00000000" w:rsidR="00000000" w:rsidRPr="00000000">
        <w:rPr>
          <w:rtl w:val="0"/>
        </w:rPr>
        <w:t xml:space="preserve">O Risk Management Framework (RMF) fornece um processo que integra atividades de gerenciamento de risco de segurança, privacidade e cadeia de suprimentos cibernética no ciclo de vida de desenvolvimento do sistema. A abordagem baseada em risco para seleção e especificação de controle considera eficácia, eficiência e restrições devido a leis, diretivas, ordens executivas, políticas, padrões ou regulamentos aplicáveis. O gerenciamento de risco organizacional é fundamental para programas eficazes de privacidade e segurança da informação; a abordagem RMF pode ser aplicada a sistemas novos e legados, qualquer tipo de sistema ou tecnologia (por exemplo, IoT, sistemas de controle) e dentro de qualquer tipo de organização, independentemente do tamanho ou setor. </w:t>
      </w:r>
    </w:p>
    <w:p w:rsidR="00000000" w:rsidDel="00000000" w:rsidP="00000000" w:rsidRDefault="00000000" w:rsidRPr="00000000" w14:paraId="0000017E">
      <w:pPr>
        <w:tabs>
          <w:tab w:val="left" w:leader="none" w:pos="463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leader="none" w:pos="463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leader="none" w:pos="463"/>
        </w:tabs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0750" cy="2654300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tabs>
          <w:tab w:val="left" w:leader="none" w:pos="4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5"/>
        </w:numPr>
        <w:tabs>
          <w:tab w:val="left" w:leader="none" w:pos="463"/>
        </w:tabs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OCTAVE (Avaliação Operacionalmente Crítica de Ameaças, Ativos e Vulnerabilidades):</w:t>
      </w:r>
    </w:p>
    <w:p w:rsidR="00000000" w:rsidDel="00000000" w:rsidP="00000000" w:rsidRDefault="00000000" w:rsidRPr="00000000" w14:paraId="00000183">
      <w:pPr>
        <w:tabs>
          <w:tab w:val="left" w:leader="none" w:pos="4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leader="none" w:pos="463"/>
        </w:tabs>
        <w:ind w:left="720" w:firstLine="0"/>
        <w:rPr/>
      </w:pPr>
      <w:r w:rsidDel="00000000" w:rsidR="00000000" w:rsidRPr="00000000">
        <w:rPr>
          <w:rtl w:val="0"/>
        </w:rPr>
        <w:t xml:space="preserve">É um framework com foco em segurança cibernética e avaliação de vulnerabilidades. A metodologia é voltada para a avaliação de riscos críticos operacionais e tecnológicos, identificando ativos essenciais e ameaças potenciais.</w:t>
      </w:r>
    </w:p>
    <w:p w:rsidR="00000000" w:rsidDel="00000000" w:rsidP="00000000" w:rsidRDefault="00000000" w:rsidRPr="00000000" w14:paraId="00000185">
      <w:pPr>
        <w:tabs>
          <w:tab w:val="left" w:leader="none" w:pos="463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leader="none" w:pos="463"/>
        </w:tabs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Fases OCTAVE</w:t>
      </w:r>
    </w:p>
    <w:p w:rsidR="00000000" w:rsidDel="00000000" w:rsidP="00000000" w:rsidRDefault="00000000" w:rsidRPr="00000000" w14:paraId="00000187">
      <w:pPr>
        <w:tabs>
          <w:tab w:val="left" w:leader="none" w:pos="463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tabs>
          <w:tab w:val="left" w:leader="none" w:pos="463"/>
        </w:tabs>
        <w:ind w:left="720" w:firstLine="0"/>
        <w:rPr/>
      </w:pPr>
      <w:r w:rsidDel="00000000" w:rsidR="00000000" w:rsidRPr="00000000">
        <w:rPr>
          <w:b w:val="1"/>
          <w:rtl w:val="0"/>
        </w:rPr>
        <w:t xml:space="preserve">Fase 1:</w:t>
      </w:r>
      <w:r w:rsidDel="00000000" w:rsidR="00000000" w:rsidRPr="00000000">
        <w:rPr>
          <w:rtl w:val="0"/>
        </w:rPr>
        <w:t xml:space="preserve"> Criar Perfis de Ameaças Baseados em Ativos – Esta é uma avaliação organizacional. A equipe de análise determina o que é importante para a organização (ativos relacionados à informação) e o que está sendo feito atualmente para proteger esses ativos. Em seguida, a equipe seleciona os ativos mais importantes para a organização (ativos críticos) e descreve os requisitos de segurança para cada ativo crítico. Por fim, ele identifica ameaças a cada ativo crítico, criando um perfil de ameaça para esse ativo.</w:t>
      </w:r>
    </w:p>
    <w:p w:rsidR="00000000" w:rsidDel="00000000" w:rsidP="00000000" w:rsidRDefault="00000000" w:rsidRPr="00000000" w14:paraId="00000189">
      <w:pPr>
        <w:tabs>
          <w:tab w:val="left" w:leader="none" w:pos="463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leader="none" w:pos="463"/>
        </w:tabs>
        <w:ind w:left="720" w:firstLine="0"/>
        <w:rPr/>
      </w:pPr>
      <w:r w:rsidDel="00000000" w:rsidR="00000000" w:rsidRPr="00000000">
        <w:rPr>
          <w:b w:val="1"/>
          <w:rtl w:val="0"/>
        </w:rPr>
        <w:t xml:space="preserve">Fase 2:</w:t>
      </w:r>
      <w:r w:rsidDel="00000000" w:rsidR="00000000" w:rsidRPr="00000000">
        <w:rPr>
          <w:rtl w:val="0"/>
        </w:rPr>
        <w:t xml:space="preserve"> Identificar Vulnerabilidades de Infraestrutura – Esta é uma avaliação da infraestrutura de informação. A equipe de análise examina rede caminhos de acesso, identificando classes de componentes de tecnologia da informação relacionados a cada ativo crítico. A equipe então determina até que ponto cada classe de componente é resistente a ataques de rede.</w:t>
      </w:r>
    </w:p>
    <w:p w:rsidR="00000000" w:rsidDel="00000000" w:rsidP="00000000" w:rsidRDefault="00000000" w:rsidRPr="00000000" w14:paraId="0000018B">
      <w:pPr>
        <w:tabs>
          <w:tab w:val="left" w:leader="none" w:pos="463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left" w:leader="none" w:pos="463"/>
        </w:tabs>
        <w:ind w:left="720" w:firstLine="0"/>
        <w:rPr/>
      </w:pPr>
      <w:r w:rsidDel="00000000" w:rsidR="00000000" w:rsidRPr="00000000">
        <w:rPr>
          <w:b w:val="1"/>
          <w:rtl w:val="0"/>
        </w:rPr>
        <w:t xml:space="preserve">Fase 3:</w:t>
      </w:r>
      <w:r w:rsidDel="00000000" w:rsidR="00000000" w:rsidRPr="00000000">
        <w:rPr>
          <w:rtl w:val="0"/>
        </w:rPr>
        <w:t xml:space="preserve"> Desenvolver Estratégia e Planos de Segurança – Durante esta parte da avaliação, a equipa de análise identifica os riscos para a organização e decide o que fazer em relação aos mesmos. A equipe cria uma estratégia de proteção para a organização e planos de mitigação para abordar os riscos para os ativos críticos, com base em uma análise das informações coletadas.</w:t>
      </w:r>
    </w:p>
    <w:p w:rsidR="00000000" w:rsidDel="00000000" w:rsidP="00000000" w:rsidRDefault="00000000" w:rsidRPr="00000000" w14:paraId="0000018D">
      <w:pPr>
        <w:tabs>
          <w:tab w:val="left" w:leader="none" w:pos="4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numPr>
          <w:ilvl w:val="1"/>
          <w:numId w:val="8"/>
        </w:numPr>
        <w:tabs>
          <w:tab w:val="left" w:leader="none" w:pos="463"/>
        </w:tabs>
        <w:jc w:val="both"/>
      </w:pPr>
      <w:bookmarkStart w:colFirst="0" w:colLast="0" w:name="_heading=h.m38qv5no1rnj" w:id="8"/>
      <w:bookmarkEnd w:id="8"/>
      <w:r w:rsidDel="00000000" w:rsidR="00000000" w:rsidRPr="00000000">
        <w:rPr>
          <w:rtl w:val="0"/>
        </w:rPr>
        <w:t xml:space="preserve">Etapas do processo de gestão de riscos, objetivos e resultados esperados (ISO 31000)</w:t>
      </w:r>
    </w:p>
    <w:p w:rsidR="00000000" w:rsidDel="00000000" w:rsidP="00000000" w:rsidRDefault="00000000" w:rsidRPr="00000000" w14:paraId="0000018F">
      <w:pPr>
        <w:tabs>
          <w:tab w:val="left" w:leader="none" w:pos="4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leader="none" w:pos="463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73464" cy="5764212"/>
            <wp:effectExtent b="0" l="0" r="0" t="0"/>
            <wp:docPr id="3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3464" cy="5764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2"/>
        </w:numPr>
        <w:tabs>
          <w:tab w:val="left" w:leader="none" w:pos="463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Etapa 1: Comunicação e consulta</w:t>
      </w:r>
    </w:p>
    <w:p w:rsidR="00000000" w:rsidDel="00000000" w:rsidP="00000000" w:rsidRDefault="00000000" w:rsidRPr="00000000" w14:paraId="00000192">
      <w:pPr>
        <w:tabs>
          <w:tab w:val="left" w:leader="none" w:pos="463"/>
        </w:tabs>
        <w:ind w:left="463" w:firstLine="0"/>
        <w:rPr/>
      </w:pPr>
      <w:r w:rsidDel="00000000" w:rsidR="00000000" w:rsidRPr="00000000">
        <w:rPr>
          <w:rtl w:val="0"/>
        </w:rPr>
        <w:t xml:space="preserve">Já que a gestão de riscos deve ser inclusiva, este é o momento onde as partes interessadas apropriadas serão conscientizadas para entenderem os riscos (comunicação) e retornarão com informações que auxiliarão a tomada de decisão (consulta).</w:t>
      </w:r>
    </w:p>
    <w:p w:rsidR="00000000" w:rsidDel="00000000" w:rsidP="00000000" w:rsidRDefault="00000000" w:rsidRPr="00000000" w14:paraId="00000193">
      <w:pPr>
        <w:tabs>
          <w:tab w:val="left" w:leader="none" w:pos="463"/>
        </w:tabs>
        <w:ind w:left="4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1"/>
        </w:numPr>
        <w:tabs>
          <w:tab w:val="left" w:leader="none" w:pos="463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Etapa 2: Escopo, contexto e critérios</w:t>
      </w:r>
    </w:p>
    <w:p w:rsidR="00000000" w:rsidDel="00000000" w:rsidP="00000000" w:rsidRDefault="00000000" w:rsidRPr="00000000" w14:paraId="00000195">
      <w:pPr>
        <w:tabs>
          <w:tab w:val="left" w:leader="none" w:pos="463"/>
        </w:tabs>
        <w:ind w:left="463" w:firstLine="0"/>
        <w:rPr/>
      </w:pPr>
      <w:r w:rsidDel="00000000" w:rsidR="00000000" w:rsidRPr="00000000">
        <w:rPr>
          <w:rtl w:val="0"/>
        </w:rPr>
        <w:t xml:space="preserve">Nesta etapa ocorre a personalização do processo de gestão de riscos, pois a empresa deve definir quais atividades estarão cobertas pelo escopo e também qual é o contexto interno e externo destas atividades.</w:t>
      </w:r>
    </w:p>
    <w:p w:rsidR="00000000" w:rsidDel="00000000" w:rsidP="00000000" w:rsidRDefault="00000000" w:rsidRPr="00000000" w14:paraId="00000196">
      <w:pPr>
        <w:tabs>
          <w:tab w:val="left" w:leader="none" w:pos="463"/>
        </w:tabs>
        <w:ind w:left="4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tabs>
          <w:tab w:val="left" w:leader="none" w:pos="463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Etapa 3: Avaliação dos riscos</w:t>
      </w:r>
    </w:p>
    <w:p w:rsidR="00000000" w:rsidDel="00000000" w:rsidP="00000000" w:rsidRDefault="00000000" w:rsidRPr="00000000" w14:paraId="00000198">
      <w:pPr>
        <w:tabs>
          <w:tab w:val="left" w:leader="none" w:pos="463"/>
        </w:tabs>
        <w:ind w:left="463" w:firstLine="0"/>
        <w:rPr/>
      </w:pPr>
      <w:r w:rsidDel="00000000" w:rsidR="00000000" w:rsidRPr="00000000">
        <w:rPr>
          <w:rtl w:val="0"/>
        </w:rPr>
        <w:t xml:space="preserve">Esta fase contempla a identificação, análise e avaliação dos riscos. Identificar significa encontrar, </w:t>
      </w:r>
    </w:p>
    <w:p w:rsidR="00000000" w:rsidDel="00000000" w:rsidP="00000000" w:rsidRDefault="00000000" w:rsidRPr="00000000" w14:paraId="00000199">
      <w:pPr>
        <w:tabs>
          <w:tab w:val="left" w:leader="none" w:pos="463"/>
        </w:tabs>
        <w:ind w:left="463" w:firstLine="0"/>
        <w:rPr/>
      </w:pPr>
      <w:r w:rsidDel="00000000" w:rsidR="00000000" w:rsidRPr="00000000">
        <w:rPr>
          <w:rtl w:val="0"/>
        </w:rPr>
        <w:t xml:space="preserve">reconhecer e descrever os riscos. A análise consiste em compreender a natureza dos riscos e suas características, considerando, entre outras informações, a probabilidade, consequências, fatores temporais e volatilidade. Já a avaliação é a comparação entre os resultados da análise com os critérios que a empresa estabeleceu na etapa 2, servindo de suporte para o processo decisório e podendo levar a empresa a:</w:t>
      </w:r>
    </w:p>
    <w:p w:rsidR="00000000" w:rsidDel="00000000" w:rsidP="00000000" w:rsidRDefault="00000000" w:rsidRPr="00000000" w14:paraId="0000019A">
      <w:pPr>
        <w:tabs>
          <w:tab w:val="left" w:leader="none" w:pos="463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tabs>
          <w:tab w:val="left" w:leader="none" w:pos="463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Considerar opções de tratamento dos riscos;</w:t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tabs>
          <w:tab w:val="left" w:leader="none" w:pos="463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análises adicionais;</w:t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tabs>
          <w:tab w:val="left" w:leader="none" w:pos="463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os controles existentes;</w:t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tabs>
          <w:tab w:val="left" w:leader="none" w:pos="463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Reconsiderar os objetivos.</w:t>
      </w:r>
    </w:p>
    <w:p w:rsidR="00000000" w:rsidDel="00000000" w:rsidP="00000000" w:rsidRDefault="00000000" w:rsidRPr="00000000" w14:paraId="0000019F">
      <w:pPr>
        <w:tabs>
          <w:tab w:val="left" w:leader="none" w:pos="4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3"/>
        </w:numPr>
        <w:tabs>
          <w:tab w:val="left" w:leader="none" w:pos="463"/>
        </w:tabs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4: Tratamento dos riscos</w:t>
      </w:r>
    </w:p>
    <w:p w:rsidR="00000000" w:rsidDel="00000000" w:rsidP="00000000" w:rsidRDefault="00000000" w:rsidRPr="00000000" w14:paraId="000001A1">
      <w:pPr>
        <w:tabs>
          <w:tab w:val="left" w:leader="none" w:pos="463"/>
        </w:tabs>
        <w:ind w:left="463" w:firstLine="0"/>
        <w:rPr/>
      </w:pPr>
      <w:r w:rsidDel="00000000" w:rsidR="00000000" w:rsidRPr="00000000">
        <w:rPr>
          <w:rtl w:val="0"/>
        </w:rPr>
        <w:t xml:space="preserve">Aqui a empresa deve selecionar e implementar opções para abordar os riscos, avaliando a eficácia da ação adotada e decidindo se o risco remanescente é aceitável ou se deve ser realizado tratamento adicional.</w:t>
      </w:r>
    </w:p>
    <w:p w:rsidR="00000000" w:rsidDel="00000000" w:rsidP="00000000" w:rsidRDefault="00000000" w:rsidRPr="00000000" w14:paraId="000001A2">
      <w:pPr>
        <w:tabs>
          <w:tab w:val="left" w:leader="none" w:pos="463"/>
        </w:tabs>
        <w:ind w:left="4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tabs>
          <w:tab w:val="left" w:leader="none" w:pos="463"/>
        </w:tabs>
        <w:ind w:left="463" w:firstLine="0"/>
        <w:rPr/>
      </w:pPr>
      <w:r w:rsidDel="00000000" w:rsidR="00000000" w:rsidRPr="00000000">
        <w:rPr>
          <w:rtl w:val="0"/>
        </w:rPr>
        <w:t xml:space="preserve">É importante ressaltar também que as opções abaixo abrangem riscos que têm consequências negativas e / ou positivas. As opções de tratamento são as seguintes: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-165501</wp:posOffset>
            </wp:positionH>
            <wp:positionV relativeFrom="paragraph">
              <wp:posOffset>219646</wp:posOffset>
            </wp:positionV>
            <wp:extent cx="2708677" cy="1780604"/>
            <wp:effectExtent b="0" l="0" r="0" t="0"/>
            <wp:wrapSquare wrapText="bothSides" distB="114300" distT="114300" distL="114300" distR="11430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677" cy="17806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4">
      <w:pPr>
        <w:tabs>
          <w:tab w:val="left" w:leader="none" w:pos="4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</w:tabs>
        <w:spacing w:after="0" w:before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evitar o risco ao decidir não iniciar ou continuar    com a atividade que dá origem ao risco;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</w:tabs>
        <w:spacing w:after="0" w:before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assumir ou aumentar o risco de maneira a perseguir uma oportunidade;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</w:tabs>
        <w:spacing w:after="0" w:before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remover a fonte de risco;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</w:tabs>
        <w:spacing w:after="0" w:before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mudar a probabilidade;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</w:tabs>
        <w:spacing w:after="0" w:before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mudar as consequências;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</w:tabs>
        <w:spacing w:after="0" w:before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compartilhar o risco (por exemplo, por meio de contratos, compra de seguros);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</w:tabs>
        <w:spacing w:after="0" w:before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reter o risco por decisão fundamentada.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tabs>
          <w:tab w:val="left" w:leader="none" w:pos="463"/>
        </w:tabs>
        <w:ind w:left="4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4"/>
        </w:numPr>
        <w:tabs>
          <w:tab w:val="left" w:leader="none" w:pos="463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Etapa 5: Monitoramento e análise crítica</w:t>
      </w:r>
    </w:p>
    <w:p w:rsidR="00000000" w:rsidDel="00000000" w:rsidP="00000000" w:rsidRDefault="00000000" w:rsidRPr="00000000" w14:paraId="000001AE">
      <w:pPr>
        <w:tabs>
          <w:tab w:val="left" w:leader="none" w:pos="463"/>
        </w:tabs>
        <w:ind w:left="463" w:firstLine="0"/>
        <w:rPr/>
      </w:pPr>
      <w:r w:rsidDel="00000000" w:rsidR="00000000" w:rsidRPr="00000000">
        <w:rPr>
          <w:rtl w:val="0"/>
        </w:rPr>
        <w:t xml:space="preserve">A empresa deve assegurar e melhorar a qualidade e eficácia da  concepção, implementação e resultados do processo de gestão de riscos de maneira contínua e em todos os estágios do processo e isso é tratado nesta etapa.</w:t>
      </w:r>
    </w:p>
    <w:p w:rsidR="00000000" w:rsidDel="00000000" w:rsidP="00000000" w:rsidRDefault="00000000" w:rsidRPr="00000000" w14:paraId="000001AF">
      <w:pPr>
        <w:tabs>
          <w:tab w:val="left" w:leader="none" w:pos="463"/>
        </w:tabs>
        <w:ind w:left="4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6"/>
        </w:numPr>
        <w:tabs>
          <w:tab w:val="left" w:leader="none" w:pos="463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Etapa 6: Registro e relato</w:t>
      </w:r>
    </w:p>
    <w:p w:rsidR="00000000" w:rsidDel="00000000" w:rsidP="00000000" w:rsidRDefault="00000000" w:rsidRPr="00000000" w14:paraId="000001B1">
      <w:pPr>
        <w:tabs>
          <w:tab w:val="left" w:leader="none" w:pos="463"/>
        </w:tabs>
        <w:ind w:left="463" w:firstLine="0"/>
        <w:rPr/>
      </w:pPr>
      <w:r w:rsidDel="00000000" w:rsidR="00000000" w:rsidRPr="00000000">
        <w:rPr>
          <w:rtl w:val="0"/>
        </w:rPr>
        <w:t xml:space="preserve">A ISO 31000 também enfatiza a importância de documentar o processo de gestão de riscos e os seus resultados, considerando as diferentes partes interessadas e, a partir disso, a empresa terá uma base para melhorar a comunicação e facilitar a tomada de decisão.</w:t>
      </w:r>
    </w:p>
    <w:p w:rsidR="00000000" w:rsidDel="00000000" w:rsidP="00000000" w:rsidRDefault="00000000" w:rsidRPr="00000000" w14:paraId="000001B2">
      <w:pPr>
        <w:tabs>
          <w:tab w:val="left" w:leader="none" w:pos="463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tabs>
          <w:tab w:val="left" w:leader="none" w:pos="4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leader="none" w:pos="4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2"/>
        <w:numPr>
          <w:ilvl w:val="1"/>
          <w:numId w:val="8"/>
        </w:numPr>
        <w:tabs>
          <w:tab w:val="left" w:leader="none" w:pos="463"/>
        </w:tabs>
        <w:jc w:val="both"/>
      </w:pPr>
      <w:bookmarkStart w:colFirst="0" w:colLast="0" w:name="_heading=h.kud2x3972hx7" w:id="9"/>
      <w:bookmarkEnd w:id="9"/>
      <w:r w:rsidDel="00000000" w:rsidR="00000000" w:rsidRPr="00000000">
        <w:rPr>
          <w:rtl w:val="0"/>
        </w:rPr>
        <w:t xml:space="preserve">Tecnologia para Gestão de risco</w:t>
      </w:r>
    </w:p>
    <w:p w:rsidR="00000000" w:rsidDel="00000000" w:rsidP="00000000" w:rsidRDefault="00000000" w:rsidRPr="00000000" w14:paraId="000001B6">
      <w:pPr>
        <w:tabs>
          <w:tab w:val="left" w:leader="none" w:pos="463"/>
        </w:tabs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4125"/>
        <w:tblGridChange w:id="0">
          <w:tblGrid>
            <w:gridCol w:w="1500"/>
            <w:gridCol w:w="1500"/>
            <w:gridCol w:w="41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Fabricante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Galvanize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Galvanize Risk Management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Galvanize é amplamente utilizada por grandes organizações devido à sua capacidade de integrar análise de dados e conformidade regulatória, tornando-a uma escolha popular para empresas que enfrentam riscos complexos.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tabs>
          <w:tab w:val="left" w:leader="none" w:pos="4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1"/>
        <w:numPr>
          <w:ilvl w:val="0"/>
          <w:numId w:val="8"/>
        </w:numPr>
        <w:tabs>
          <w:tab w:val="left" w:leader="none" w:pos="609"/>
          <w:tab w:val="left" w:leader="none" w:pos="9097"/>
        </w:tabs>
        <w:spacing w:before="200" w:lineRule="auto"/>
        <w:ind w:firstLine="41.99999999999996"/>
        <w:jc w:val="both"/>
      </w:pPr>
      <w:bookmarkStart w:colFirst="0" w:colLast="0" w:name="_heading=h.2g0r75bumezp" w:id="10"/>
      <w:bookmarkEnd w:id="10"/>
      <w:r w:rsidDel="00000000" w:rsidR="00000000" w:rsidRPr="00000000">
        <w:rPr>
          <w:shd w:fill="e6e6e6" w:val="clear"/>
          <w:rtl w:val="0"/>
        </w:rPr>
        <w:t xml:space="preserve">AGRADECIMENTOS</w:t>
        <w:tab/>
      </w:r>
    </w:p>
    <w:p w:rsidR="00000000" w:rsidDel="00000000" w:rsidP="00000000" w:rsidRDefault="00000000" w:rsidRPr="00000000" w14:paraId="000001BF">
      <w:pPr>
        <w:ind w:left="108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365" w:firstLine="0"/>
        <w:rPr/>
      </w:pPr>
      <w:r w:rsidDel="00000000" w:rsidR="00000000" w:rsidRPr="00000000">
        <w:rPr>
          <w:rtl w:val="0"/>
        </w:rPr>
        <w:t xml:space="preserve">A realização deste relatório de gestão de ameaças, vulnerabilidades e risco é resultado de um longo percurso de aprendizado, dedicação e apoio recebido de diversas pessoas, as quais gostaria de expressar minha profunda gratidão.</w:t>
      </w:r>
    </w:p>
    <w:p w:rsidR="00000000" w:rsidDel="00000000" w:rsidP="00000000" w:rsidRDefault="00000000" w:rsidRPr="00000000" w14:paraId="000001C1">
      <w:pPr>
        <w:ind w:left="3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365" w:firstLine="0"/>
        <w:rPr/>
      </w:pPr>
      <w:r w:rsidDel="00000000" w:rsidR="00000000" w:rsidRPr="00000000">
        <w:rPr>
          <w:rtl w:val="0"/>
        </w:rPr>
        <w:t xml:space="preserve">Primeiramente, agradeço a Deus, permitindo-me superar os desafios e chegar até aqui.</w:t>
      </w:r>
    </w:p>
    <w:p w:rsidR="00000000" w:rsidDel="00000000" w:rsidP="00000000" w:rsidRDefault="00000000" w:rsidRPr="00000000" w14:paraId="000001C3">
      <w:pPr>
        <w:ind w:left="3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365" w:firstLine="0"/>
        <w:rPr/>
      </w:pPr>
      <w:r w:rsidDel="00000000" w:rsidR="00000000" w:rsidRPr="00000000">
        <w:rPr>
          <w:rtl w:val="0"/>
        </w:rPr>
        <w:t xml:space="preserve">À minha família, pelo amor incondicional, paciência e compreensão. Pois são a minha base e fonte de motivação constante para persistir e alcançar este objetivo.</w:t>
      </w:r>
    </w:p>
    <w:p w:rsidR="00000000" w:rsidDel="00000000" w:rsidP="00000000" w:rsidRDefault="00000000" w:rsidRPr="00000000" w14:paraId="000001C5">
      <w:pPr>
        <w:ind w:left="3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365" w:firstLine="0"/>
        <w:rPr/>
      </w:pPr>
      <w:r w:rsidDel="00000000" w:rsidR="00000000" w:rsidRPr="00000000">
        <w:rPr>
          <w:rtl w:val="0"/>
        </w:rPr>
        <w:t xml:space="preserve">Ao meu e professor, Dan Durante, que compartilharam seus conhecimentos, me guiou com sabedoria e generosidade. Além da enorme paciência e disponibilidade para tirar dúvidas. Suas orientações foram fundamentais para a construção deste trabalho e para o meu crescimento acadêmico e profissional.</w:t>
      </w:r>
    </w:p>
    <w:p w:rsidR="00000000" w:rsidDel="00000000" w:rsidP="00000000" w:rsidRDefault="00000000" w:rsidRPr="00000000" w14:paraId="000001C7">
      <w:pPr>
        <w:ind w:left="3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365" w:firstLine="0"/>
        <w:rPr/>
      </w:pPr>
      <w:r w:rsidDel="00000000" w:rsidR="00000000" w:rsidRPr="00000000">
        <w:rPr>
          <w:rtl w:val="0"/>
        </w:rPr>
        <w:t xml:space="preserve">A um grande amigo, Renato, que mesmo não sendo da área de cibersegurança, se disponibilizou em ler o relatório e se colocar como "empresa" para me dar feedback se o mesmo estava de fácil entendimento.</w:t>
      </w:r>
    </w:p>
    <w:p w:rsidR="00000000" w:rsidDel="00000000" w:rsidP="00000000" w:rsidRDefault="00000000" w:rsidRPr="00000000" w14:paraId="000001C9">
      <w:pPr>
        <w:ind w:left="3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365" w:firstLine="0"/>
        <w:rPr/>
      </w:pPr>
      <w:r w:rsidDel="00000000" w:rsidR="00000000" w:rsidRPr="00000000">
        <w:rPr>
          <w:rtl w:val="0"/>
        </w:rPr>
        <w:t xml:space="preserve">Agradeço também à instituição de ensino, por proporcionarem um ambiente de aprendizado enriquecedor e pelas oportunidades oferecidas.</w:t>
      </w:r>
    </w:p>
    <w:p w:rsidR="00000000" w:rsidDel="00000000" w:rsidP="00000000" w:rsidRDefault="00000000" w:rsidRPr="00000000" w14:paraId="000001CB">
      <w:pPr>
        <w:ind w:left="3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365" w:firstLine="0"/>
        <w:rPr/>
      </w:pPr>
      <w:r w:rsidDel="00000000" w:rsidR="00000000" w:rsidRPr="00000000">
        <w:rPr>
          <w:rtl w:val="0"/>
        </w:rPr>
        <w:t xml:space="preserve">Por fim, sou grato(a) a todos que, direta ou indiretamente, contribuíram para a realização deste trabalho. Sem o apoio e a contribuição de cada um de vocês, esta etapa não teria sido possível.</w:t>
      </w:r>
    </w:p>
    <w:p w:rsidR="00000000" w:rsidDel="00000000" w:rsidP="00000000" w:rsidRDefault="00000000" w:rsidRPr="00000000" w14:paraId="000001CD">
      <w:pPr>
        <w:ind w:left="3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365" w:firstLine="0"/>
        <w:rPr/>
      </w:pPr>
      <w:r w:rsidDel="00000000" w:rsidR="00000000" w:rsidRPr="00000000">
        <w:rPr>
          <w:rtl w:val="0"/>
        </w:rPr>
        <w:t xml:space="preserve">Com gratidão,</w:t>
      </w:r>
    </w:p>
    <w:p w:rsidR="00000000" w:rsidDel="00000000" w:rsidP="00000000" w:rsidRDefault="00000000" w:rsidRPr="00000000" w14:paraId="000001CF">
      <w:pPr>
        <w:ind w:left="3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365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Adyellen Alves.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108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108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1"/>
        <w:numPr>
          <w:ilvl w:val="0"/>
          <w:numId w:val="8"/>
        </w:numPr>
        <w:tabs>
          <w:tab w:val="left" w:leader="none" w:pos="609"/>
          <w:tab w:val="left" w:leader="none" w:pos="9097"/>
        </w:tabs>
        <w:spacing w:before="200" w:lineRule="auto"/>
        <w:ind w:firstLine="41.99999999999996"/>
        <w:jc w:val="both"/>
      </w:pPr>
      <w:bookmarkStart w:colFirst="0" w:colLast="0" w:name="_heading=h.f1fiqsz4yqhz" w:id="11"/>
      <w:bookmarkEnd w:id="11"/>
      <w:r w:rsidDel="00000000" w:rsidR="00000000" w:rsidRPr="00000000">
        <w:rPr>
          <w:shd w:fill="e6e6e6" w:val="clear"/>
          <w:rtl w:val="0"/>
        </w:rPr>
        <w:t xml:space="preserve">REFERÊNCIAS BIBLIOGRÁFICAS</w:t>
        <w:tab/>
      </w:r>
    </w:p>
    <w:p w:rsidR="00000000" w:rsidDel="00000000" w:rsidP="00000000" w:rsidRDefault="00000000" w:rsidRPr="00000000" w14:paraId="000001D4">
      <w:pPr>
        <w:tabs>
          <w:tab w:val="left" w:leader="none" w:pos="609"/>
          <w:tab w:val="left" w:leader="none" w:pos="909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tabs>
          <w:tab w:val="left" w:leader="none" w:pos="609"/>
          <w:tab w:val="left" w:leader="none" w:pos="9097"/>
        </w:tabs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tabs>
          <w:tab w:val="left" w:leader="none" w:pos="609"/>
          <w:tab w:val="left" w:leader="none" w:pos="9097"/>
        </w:tabs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tabs>
          <w:tab w:val="left" w:leader="none" w:pos="609"/>
          <w:tab w:val="left" w:leader="none" w:pos="9097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CROWDSTRIKE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Falcon Spotlight</w:t>
      </w:r>
      <w:r w:rsidDel="00000000" w:rsidR="00000000" w:rsidRPr="00000000">
        <w:rPr>
          <w:rtl w:val="0"/>
        </w:rPr>
        <w:t xml:space="preserve">. 2023. Disponível em: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https://www.crowdstrike.com/pt-br/resources/data-sheets/falcon-spotlight/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D8">
      <w:pPr>
        <w:tabs>
          <w:tab w:val="left" w:leader="none" w:pos="609"/>
          <w:tab w:val="left" w:leader="none" w:pos="9097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tabs>
          <w:tab w:val="left" w:leader="none" w:pos="609"/>
          <w:tab w:val="left" w:leader="none" w:pos="9097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BROADCOM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Data Loss Prevention</w:t>
      </w:r>
      <w:r w:rsidDel="00000000" w:rsidR="00000000" w:rsidRPr="00000000">
        <w:rPr>
          <w:rtl w:val="0"/>
        </w:rPr>
        <w:t xml:space="preserve">. 2023. Disponível em: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https://www.broadcom.com/products/cybersecurity/information-protection/data-loss-prevention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DA">
      <w:pPr>
        <w:tabs>
          <w:tab w:val="left" w:leader="none" w:pos="609"/>
          <w:tab w:val="left" w:leader="none" w:pos="9097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tabs>
          <w:tab w:val="left" w:leader="none" w:pos="609"/>
          <w:tab w:val="left" w:leader="none" w:pos="9097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CROWDSTRIKE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Why CrowdStrike</w:t>
      </w:r>
      <w:r w:rsidDel="00000000" w:rsidR="00000000" w:rsidRPr="00000000">
        <w:rPr>
          <w:rtl w:val="0"/>
        </w:rPr>
        <w:t xml:space="preserve">. 2023. Disponível em: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https://www.crowdstrike.com/en-us/why-crowdstrike/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DC">
      <w:pPr>
        <w:tabs>
          <w:tab w:val="left" w:leader="none" w:pos="609"/>
          <w:tab w:val="left" w:leader="none" w:pos="9097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tabs>
          <w:tab w:val="left" w:leader="none" w:pos="609"/>
          <w:tab w:val="left" w:leader="none" w:pos="9097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FORTINET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Next Generation Firewall</w:t>
      </w:r>
      <w:r w:rsidDel="00000000" w:rsidR="00000000" w:rsidRPr="00000000">
        <w:rPr>
          <w:rtl w:val="0"/>
        </w:rPr>
        <w:t xml:space="preserve">. 2023. Disponível em: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https://www.fortinet.com/br/products/next-generation-firewall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DE">
      <w:pPr>
        <w:tabs>
          <w:tab w:val="left" w:leader="none" w:pos="609"/>
          <w:tab w:val="left" w:leader="none" w:pos="9097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tabs>
          <w:tab w:val="left" w:leader="none" w:pos="609"/>
          <w:tab w:val="left" w:leader="none" w:pos="9097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WEGALVANIZE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Wegalvanize</w:t>
      </w:r>
      <w:r w:rsidDel="00000000" w:rsidR="00000000" w:rsidRPr="00000000">
        <w:rPr>
          <w:rtl w:val="0"/>
        </w:rPr>
        <w:t xml:space="preserve">. 2023. Disponível em: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https://www.wegalvanize.com/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E0">
      <w:pPr>
        <w:tabs>
          <w:tab w:val="left" w:leader="none" w:pos="609"/>
          <w:tab w:val="left" w:leader="none" w:pos="9097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tabs>
          <w:tab w:val="left" w:leader="none" w:pos="609"/>
          <w:tab w:val="left" w:leader="none" w:pos="9097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NIST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Risk Management Framework (RMF)</w:t>
      </w:r>
      <w:r w:rsidDel="00000000" w:rsidR="00000000" w:rsidRPr="00000000">
        <w:rPr>
          <w:rtl w:val="0"/>
        </w:rPr>
        <w:t xml:space="preserve">. 2023. Disponível em: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https://csrc.nist.gov/projects/risk-management/about-rmf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E2">
      <w:pPr>
        <w:tabs>
          <w:tab w:val="left" w:leader="none" w:pos="609"/>
          <w:tab w:val="left" w:leader="none" w:pos="9097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tabs>
          <w:tab w:val="left" w:leader="none" w:pos="609"/>
          <w:tab w:val="left" w:leader="none" w:pos="9097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NIST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National Institute of Standards and Technology</w:t>
      </w:r>
      <w:r w:rsidDel="00000000" w:rsidR="00000000" w:rsidRPr="00000000">
        <w:rPr>
          <w:rtl w:val="0"/>
        </w:rPr>
        <w:t xml:space="preserve">. 2023. Disponível em: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https://www.nist.gov/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E4">
      <w:pPr>
        <w:tabs>
          <w:tab w:val="left" w:leader="none" w:pos="609"/>
          <w:tab w:val="left" w:leader="none" w:pos="9097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tabs>
          <w:tab w:val="left" w:leader="none" w:pos="609"/>
          <w:tab w:val="left" w:leader="none" w:pos="9097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CVE DETAILS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CVE Details</w:t>
      </w:r>
      <w:r w:rsidDel="00000000" w:rsidR="00000000" w:rsidRPr="00000000">
        <w:rPr>
          <w:rtl w:val="0"/>
        </w:rPr>
        <w:t xml:space="preserve">. 2023. Disponível em: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https://www.cvedetails.com/index.php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E6">
      <w:pPr>
        <w:tabs>
          <w:tab w:val="left" w:leader="none" w:pos="609"/>
          <w:tab w:val="left" w:leader="none" w:pos="9097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tabs>
          <w:tab w:val="left" w:leader="none" w:pos="609"/>
          <w:tab w:val="left" w:leader="none" w:pos="9097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OWASP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OWASP Code Review Guide</w:t>
      </w:r>
      <w:r w:rsidDel="00000000" w:rsidR="00000000" w:rsidRPr="00000000">
        <w:rPr>
          <w:rtl w:val="0"/>
        </w:rPr>
        <w:t xml:space="preserve">. 2023. Disponível em: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https://owasp.org/www-project-code-review-guide/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8">
      <w:pPr>
        <w:tabs>
          <w:tab w:val="left" w:leader="none" w:pos="609"/>
          <w:tab w:val="left" w:leader="none" w:pos="9097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tabs>
          <w:tab w:val="left" w:leader="none" w:pos="609"/>
          <w:tab w:val="left" w:leader="none" w:pos="9097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MITRE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Common Weakness Enumeration (CWE)</w:t>
      </w:r>
      <w:r w:rsidDel="00000000" w:rsidR="00000000" w:rsidRPr="00000000">
        <w:rPr>
          <w:rtl w:val="0"/>
        </w:rPr>
        <w:t xml:space="preserve">. 2023. Disponível em: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https://cwe.mitre.org/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EA">
      <w:pPr>
        <w:tabs>
          <w:tab w:val="left" w:leader="none" w:pos="609"/>
          <w:tab w:val="left" w:leader="none" w:pos="9097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tabs>
          <w:tab w:val="left" w:leader="none" w:pos="609"/>
          <w:tab w:val="left" w:leader="none" w:pos="9097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BLOG DA QUALIDADE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Diretrizes para Gestão de Riscos com Base na ISO 31000</w:t>
      </w:r>
      <w:r w:rsidDel="00000000" w:rsidR="00000000" w:rsidRPr="00000000">
        <w:rPr>
          <w:rtl w:val="0"/>
        </w:rPr>
        <w:t xml:space="preserve">. 2023. Disponível em: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https://blogdaqualidade.com.br/diretrizes-para-gestao-de-riscos-com-base-na-iso-31000/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EC">
      <w:pPr>
        <w:tabs>
          <w:tab w:val="left" w:leader="none" w:pos="609"/>
          <w:tab w:val="left" w:leader="none" w:pos="9097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tabs>
          <w:tab w:val="left" w:leader="none" w:pos="609"/>
          <w:tab w:val="left" w:leader="none" w:pos="9097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ISO 31000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Processo de Gestão de Riscos</w:t>
      </w:r>
      <w:r w:rsidDel="00000000" w:rsidR="00000000" w:rsidRPr="00000000">
        <w:rPr>
          <w:rtl w:val="0"/>
        </w:rPr>
        <w:t xml:space="preserve">. 2023. Disponível em: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https://iso31000.net/processo-de-gestao-de-riscos/#:~:text=Essas%20tr%C3%AAs%20etapas%20s%C3%A3o%3A&amp;text=Comunica%C3%A7%C3%A3o%20e%20consulta%20%C3%A0s%20partes,nos%20'outputs'%20do%20processo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E">
      <w:pPr>
        <w:tabs>
          <w:tab w:val="left" w:leader="none" w:pos="609"/>
          <w:tab w:val="left" w:leader="none" w:pos="909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leader="none" w:pos="609"/>
          <w:tab w:val="left" w:leader="none" w:pos="909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tabs>
          <w:tab w:val="left" w:leader="none" w:pos="609"/>
          <w:tab w:val="left" w:leader="none" w:pos="909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tabs>
          <w:tab w:val="left" w:leader="none" w:pos="609"/>
          <w:tab w:val="left" w:leader="none" w:pos="909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leader="none" w:pos="609"/>
          <w:tab w:val="left" w:leader="none" w:pos="909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108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tabs>
          <w:tab w:val="left" w:leader="none" w:pos="7769"/>
        </w:tabs>
        <w:spacing w:before="32" w:lineRule="auto"/>
        <w:ind w:left="0" w:right="211" w:firstLine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460" w:top="1420" w:left="1417" w:right="1133" w:header="273" w:footer="27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-584199</wp:posOffset>
              </wp:positionH>
              <wp:positionV relativeFrom="paragraph">
                <wp:posOffset>10363200</wp:posOffset>
              </wp:positionV>
              <wp:extent cx="6529705" cy="153670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085910" y="3707928"/>
                        <a:ext cx="6520180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https://sei.ifto.edu.br/sei/controlador.php?acao=documento_imprimir_web&amp;acao_origem=arvore_visualizar&amp;id_documento=2…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-584199</wp:posOffset>
              </wp:positionH>
              <wp:positionV relativeFrom="paragraph">
                <wp:posOffset>10363200</wp:posOffset>
              </wp:positionV>
              <wp:extent cx="6529705" cy="153670"/>
              <wp:effectExtent b="0" l="0" r="0" t="0"/>
              <wp:wrapNone/>
              <wp:docPr id="2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29705" cy="15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6057900</wp:posOffset>
              </wp:positionH>
              <wp:positionV relativeFrom="paragraph">
                <wp:posOffset>10363200</wp:posOffset>
              </wp:positionV>
              <wp:extent cx="288925" cy="153670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06300" y="3707928"/>
                        <a:ext cx="279400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7.999999523162842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1/ NUMPAGES 15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6057900</wp:posOffset>
              </wp:positionH>
              <wp:positionV relativeFrom="paragraph">
                <wp:posOffset>10363200</wp:posOffset>
              </wp:positionV>
              <wp:extent cx="288925" cy="153670"/>
              <wp:effectExtent b="0" l="0" r="0" t="0"/>
              <wp:wrapNone/>
              <wp:docPr id="2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8925" cy="15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20/12/2024                                                                                                                                                     RECIFE/PE</w:t>
    </w:r>
    <w:r w:rsidDel="00000000" w:rsidR="00000000" w:rsidRPr="00000000">
      <w:rPr>
        <w:rFonts w:ascii="Play" w:cs="Play" w:eastAsia="Play" w:hAnsi="Play"/>
        <w:sz w:val="24"/>
        <w:szCs w:val="24"/>
        <w:rtl w:val="0"/>
      </w:rPr>
      <w:br w:type="textWrapping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609" w:hanging="567"/>
      </w:pPr>
      <w:rPr>
        <w:rFonts w:ascii="Times New Roman" w:cs="Times New Roman" w:eastAsia="Times New Roman" w:hAnsi="Times New Roman"/>
        <w:b w:val="0"/>
        <w:i w:val="0"/>
        <w:sz w:val="24"/>
        <w:szCs w:val="24"/>
        <w:shd w:fill="e6e6e6" w:val="clear"/>
      </w:rPr>
    </w:lvl>
    <w:lvl w:ilvl="1">
      <w:start w:val="1"/>
      <w:numFmt w:val="decimal"/>
      <w:lvlText w:val="%1.%2."/>
      <w:lvlJc w:val="left"/>
      <w:pPr>
        <w:ind w:left="463" w:hanging="42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643" w:hanging="60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640" w:hanging="600"/>
      </w:pPr>
      <w:rPr/>
    </w:lvl>
    <w:lvl w:ilvl="4">
      <w:start w:val="0"/>
      <w:numFmt w:val="bullet"/>
      <w:lvlText w:val="•"/>
      <w:lvlJc w:val="left"/>
      <w:pPr>
        <w:ind w:left="1884" w:hanging="600"/>
      </w:pPr>
      <w:rPr/>
    </w:lvl>
    <w:lvl w:ilvl="5">
      <w:start w:val="0"/>
      <w:numFmt w:val="bullet"/>
      <w:lvlText w:val="•"/>
      <w:lvlJc w:val="left"/>
      <w:pPr>
        <w:ind w:left="3128" w:hanging="600"/>
      </w:pPr>
      <w:rPr/>
    </w:lvl>
    <w:lvl w:ilvl="6">
      <w:start w:val="0"/>
      <w:numFmt w:val="bullet"/>
      <w:lvlText w:val="•"/>
      <w:lvlJc w:val="left"/>
      <w:pPr>
        <w:ind w:left="4372" w:hanging="600"/>
      </w:pPr>
      <w:rPr/>
    </w:lvl>
    <w:lvl w:ilvl="7">
      <w:start w:val="0"/>
      <w:numFmt w:val="bullet"/>
      <w:lvlText w:val="•"/>
      <w:lvlJc w:val="left"/>
      <w:pPr>
        <w:ind w:left="5616" w:hanging="600"/>
      </w:pPr>
      <w:rPr/>
    </w:lvl>
    <w:lvl w:ilvl="8">
      <w:start w:val="0"/>
      <w:numFmt w:val="bullet"/>
      <w:lvlText w:val="•"/>
      <w:lvlJc w:val="left"/>
      <w:pPr>
        <w:ind w:left="6860" w:hanging="60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_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09" w:hanging="566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463" w:hanging="42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pt-PT"/>
    </w:rPr>
  </w:style>
  <w:style w:type="paragraph" w:styleId="BodyText">
    <w:name w:val="Body Text"/>
    <w:basedOn w:val="Normal"/>
    <w:uiPriority w:val="1"/>
    <w:qFormat w:val="1"/>
    <w:pPr>
      <w:ind w:left="43"/>
    </w:pPr>
    <w:rPr>
      <w:rFonts w:ascii="Times New Roman" w:cs="Times New Roman" w:eastAsia="Times New Roman" w:hAnsi="Times New Roman"/>
      <w:sz w:val="24"/>
      <w:szCs w:val="24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ind w:left="609" w:hanging="566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pt-PT"/>
    </w:rPr>
  </w:style>
  <w:style w:type="paragraph" w:styleId="Heading2">
    <w:name w:val="Heading 2"/>
    <w:basedOn w:val="Normal"/>
    <w:uiPriority w:val="1"/>
    <w:qFormat w:val="1"/>
    <w:pPr>
      <w:ind w:left="463" w:hanging="420"/>
      <w:outlineLvl w:val="2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spacing w:before="119"/>
      <w:ind w:left="43" w:right="244"/>
      <w:jc w:val="both"/>
    </w:pPr>
    <w:rPr>
      <w:rFonts w:ascii="Times New Roman" w:cs="Times New Roman" w:eastAsia="Times New Roman" w:hAnsi="Times New Roman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>
      <w:spacing w:line="265" w:lineRule="exact"/>
    </w:pPr>
    <w:rPr>
      <w:rFonts w:ascii="Times New Roman" w:cs="Times New Roman" w:eastAsia="Times New Roman" w:hAnsi="Times New Roman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rowdstrike.com/en-us/why-crowdstrike/" TargetMode="External"/><Relationship Id="rId22" Type="http://schemas.openxmlformats.org/officeDocument/2006/relationships/hyperlink" Target="https://www.fortinet.com/br/products/next-generation-firewall" TargetMode="External"/><Relationship Id="rId21" Type="http://schemas.openxmlformats.org/officeDocument/2006/relationships/hyperlink" Target="https://www.crowdstrike.com/en-us/why-crowdstrike/" TargetMode="External"/><Relationship Id="rId24" Type="http://schemas.openxmlformats.org/officeDocument/2006/relationships/hyperlink" Target="https://www.wegalvanize.com/" TargetMode="External"/><Relationship Id="rId23" Type="http://schemas.openxmlformats.org/officeDocument/2006/relationships/hyperlink" Target="https://www.fortinet.com/br/products/next-generation-firewal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26" Type="http://schemas.openxmlformats.org/officeDocument/2006/relationships/hyperlink" Target="https://csrc.nist.gov/projects/risk-management/about-rmf" TargetMode="External"/><Relationship Id="rId25" Type="http://schemas.openxmlformats.org/officeDocument/2006/relationships/hyperlink" Target="https://www.wegalvanize.com/" TargetMode="External"/><Relationship Id="rId28" Type="http://schemas.openxmlformats.org/officeDocument/2006/relationships/hyperlink" Target="https://www.nist.gov/" TargetMode="External"/><Relationship Id="rId27" Type="http://schemas.openxmlformats.org/officeDocument/2006/relationships/hyperlink" Target="https://csrc.nist.gov/projects/risk-management/about-rm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nist.gov/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31" Type="http://schemas.openxmlformats.org/officeDocument/2006/relationships/hyperlink" Target="https://www.cvedetails.com/index.php" TargetMode="External"/><Relationship Id="rId30" Type="http://schemas.openxmlformats.org/officeDocument/2006/relationships/hyperlink" Target="https://www.cvedetails.com/index.php" TargetMode="External"/><Relationship Id="rId11" Type="http://schemas.openxmlformats.org/officeDocument/2006/relationships/footer" Target="footer2.xml"/><Relationship Id="rId33" Type="http://schemas.openxmlformats.org/officeDocument/2006/relationships/hyperlink" Target="https://owasp.org/www-project-code-review-guide/" TargetMode="External"/><Relationship Id="rId10" Type="http://schemas.openxmlformats.org/officeDocument/2006/relationships/footer" Target="footer1.xml"/><Relationship Id="rId32" Type="http://schemas.openxmlformats.org/officeDocument/2006/relationships/hyperlink" Target="https://owasp.org/www-project-code-review-guide/" TargetMode="External"/><Relationship Id="rId13" Type="http://schemas.openxmlformats.org/officeDocument/2006/relationships/image" Target="media/image4.png"/><Relationship Id="rId35" Type="http://schemas.openxmlformats.org/officeDocument/2006/relationships/hyperlink" Target="https://cwe.mitre.org/" TargetMode="External"/><Relationship Id="rId12" Type="http://schemas.openxmlformats.org/officeDocument/2006/relationships/image" Target="media/image7.png"/><Relationship Id="rId34" Type="http://schemas.openxmlformats.org/officeDocument/2006/relationships/hyperlink" Target="https://cwe.mitre.org/" TargetMode="External"/><Relationship Id="rId15" Type="http://schemas.openxmlformats.org/officeDocument/2006/relationships/image" Target="media/image3.png"/><Relationship Id="rId37" Type="http://schemas.openxmlformats.org/officeDocument/2006/relationships/hyperlink" Target="https://blogdaqualidade.com.br/diretrizes-para-gestao-de-riscos-com-base-na-iso-31000/" TargetMode="External"/><Relationship Id="rId14" Type="http://schemas.openxmlformats.org/officeDocument/2006/relationships/image" Target="media/image1.jpg"/><Relationship Id="rId36" Type="http://schemas.openxmlformats.org/officeDocument/2006/relationships/hyperlink" Target="https://blogdaqualidade.com.br/diretrizes-para-gestao-de-riscos-com-base-na-iso-31000/" TargetMode="External"/><Relationship Id="rId17" Type="http://schemas.openxmlformats.org/officeDocument/2006/relationships/hyperlink" Target="https://www.crowdstrike.com/pt-br/resources/data-sheets/falcon-spotlight/" TargetMode="External"/><Relationship Id="rId16" Type="http://schemas.openxmlformats.org/officeDocument/2006/relationships/hyperlink" Target="https://www.crowdstrike.com/pt-br/resources/data-sheets/falcon-spotlight/" TargetMode="External"/><Relationship Id="rId38" Type="http://schemas.openxmlformats.org/officeDocument/2006/relationships/hyperlink" Target="https://iso31000.net/processo-de-gestao-de-riscos/#:~:text=Essas%20tr%C3%AAs%20etapas%20s%C3%A3o%3A&amp;text=Comunica%C3%A7%C3%A3o%20e%20consulta%20%C3%A0s%20partes,nos%20'outputs'%20do%20processo" TargetMode="External"/><Relationship Id="rId19" Type="http://schemas.openxmlformats.org/officeDocument/2006/relationships/hyperlink" Target="https://www.broadcom.com/products/cybersecurity/information-protection/data-loss-prevention" TargetMode="External"/><Relationship Id="rId18" Type="http://schemas.openxmlformats.org/officeDocument/2006/relationships/hyperlink" Target="https://www.broadcom.com/products/cybersecurity/information-protection/data-loss-preven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wrU4Ypojc4CIx3222vY1Y4qctg==">CgMxLjAyDmguYWc0enhrNmpwZTltMg5oLm1sc3V2NGwxNXNxMjIOaC5sbG52dHN1eTNsaHEyDmguaHB4dHJmN2c1YTNuMg5oLjJhaDdhYXY0d201YTIOaC5zZG5vZDNnaG1kZmoyDWguZWppNGY3eGd0aTEyDmguc2xya2c1NzI1bmU1Mg5oLm0zOHF2NW5vMXJuajIOaC5rdWQyeDM5NzJoeDcyDmguMmcwcjc1YnVtZXpwMg5oLmYxZmlxc3o0eXFoejgAciExalExNU1yTEswQjZhWTByMnNkOFJaUDBMaThYUU0wM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2024-12-20T22:13:07Z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Mozilla/5.0 (X11; Linux x86_64) AppleWebKit/537.36 (KHTML, like Gecko) Chrome/118.0.0.0 Safari/537.36</vt:lpwstr>
  </property>
  <property fmtid="{D5CDD505-2E9C-101B-9397-08002B2CF9AE}" pid="4" name="LastSaved">
    <vt:filetime>2024-12-20T00:00:00Z</vt:filetime>
  </property>
  <property fmtid="{D5CDD505-2E9C-101B-9397-08002B2CF9AE}" pid="5" name="Producer">
    <vt:lpwstr>3-Heights(TM) PDF Analysis &amp; Repair Shell 4.12.26.3 (http://www.pdf-tools.com)</vt:lpwstr>
  </property>
</Properties>
</file>