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alcadl7ih1gx" w:id="0"/>
      <w:bookmarkEnd w:id="0"/>
      <w:r w:rsidDel="00000000" w:rsidR="00000000" w:rsidRPr="00000000">
        <w:rPr>
          <w:rFonts w:ascii="Times New Roman" w:cs="Times New Roman" w:eastAsia="Times New Roman" w:hAnsi="Times New Roman"/>
          <w:b w:val="1"/>
          <w:bCs w:val="1"/>
          <w:sz w:val="24"/>
          <w:szCs w:val="24"/>
          <w:rtl w:val="0"/>
        </w:rPr>
        <w:t xml:space="preserve">SIRUJUK ANTI FRAUD</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 Verifikasi Rujukan Berbasis Data untuk Deteksi Rujukan Semu pada Program Jaminan Kesehatan Nasional</w:t>
        <w:br w:type="textWrapping"/>
      </w:r>
      <w:r w:rsidDel="00000000" w:rsidR="00000000" w:rsidRPr="00000000">
        <w:rPr>
          <w:rFonts w:ascii="Times New Roman" w:cs="Times New Roman" w:eastAsia="Times New Roman" w:hAnsi="Times New Roman"/>
          <w:sz w:val="24"/>
          <w:szCs w:val="24"/>
          <w:rtl w:val="0"/>
        </w:rPr>
        <w:t xml:space="preserve"> Proposal Healthkathon 2026, Kategori Efisiensi Risiko pada Fasilitas Kesehatan</w:t>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5d51xvmmcp5d" w:id="1"/>
      <w:bookmarkEnd w:id="1"/>
      <w:r w:rsidDel="00000000" w:rsidR="00000000" w:rsidRPr="00000000">
        <w:rPr>
          <w:rFonts w:ascii="Times New Roman" w:cs="Times New Roman" w:eastAsia="Times New Roman" w:hAnsi="Times New Roman"/>
          <w:b w:val="1"/>
          <w:bCs w:val="1"/>
          <w:sz w:val="24"/>
          <w:szCs w:val="24"/>
          <w:rtl w:val="0"/>
        </w:rPr>
        <w:t xml:space="preserve">1. Identitas Solusi</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SIRUJUK Anti Fraud (Sistem Verifikasi Rujukan Berbasis Data) adalah solusi yang diajukan untuk kategori Efisiensi Risiko pada Fasilitas Kesehatan pada Healthkathon 2026, dengan fokus pada kecurangan rujukan semu (self referral) sebagaimana diatur dalam Peraturan Menteri Kesehatan Nomor 16 Tahun 2019 tentang Pencegahan dan Penanganan Kecurangan dalam Pelaksanaan Program JKN [3]. Sistem ini ditujukan bagi Tim Kendali Mutu Kendali Biaya (TKMKB) BPJS Kesehatan, unit verifikasi klaim BPJS Kesehatan Kantor Cabang, dan Dinas Kesehatan sebagai pengawas kepatuhan FKTP. Secara ringkas, SIRUJUK Anti Fraud adalah sistem skoring risiko yang memvalidasi kelayakan setiap rujukan dari FKTP ke FKRTL pada titik penerbitan rujukan, menggabungkan pengecekan silang data ketersediaan fasilitas, deteksi anomali statistik pada pola rujukan per dokter, analisis jaringan rujukan, dan pemrosesan bahasa alami pada narasi klinis, untuk menghasilkan satu skor risiko pada rentang 0 sampai 100 yang menentukan apakah sebuah rujukan lolos otomatis, masuk antrean review verifikator, atau ditahan sementara untuk audit medis.</w:t>
      </w:r>
    </w:p>
    <w:p w:rsidR="00000000" w:rsidDel="00000000" w:rsidP="00000000" w:rsidRDefault="00000000" w:rsidRPr="00000000" w14:paraId="0000000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bwkqrkyrm8wh" w:id="2"/>
      <w:bookmarkEnd w:id="2"/>
      <w:r w:rsidDel="00000000" w:rsidR="00000000" w:rsidRPr="00000000">
        <w:rPr>
          <w:rFonts w:ascii="Times New Roman" w:cs="Times New Roman" w:eastAsia="Times New Roman" w:hAnsi="Times New Roman"/>
          <w:b w:val="1"/>
          <w:bCs w:val="1"/>
          <w:sz w:val="24"/>
          <w:szCs w:val="24"/>
          <w:rtl w:val="0"/>
        </w:rPr>
        <w:t xml:space="preserve">2. Masalah dan Urgensi</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JKN per 31 Juli 2026 melayani 284.316.178 peserta melalui 23.758 fasilitas kesehatan tingkat pertama [6]. Skema rujukan berjenjang mewajibkan 144 diagnosis nonspesialistik dengan tingkat kompetensi 4A sesuai Panduan Praktik Klinis [2], ditegaskan kembali oleh BPJS Kesehatan pada Desember 2025 [7], dituntaskan di FKTP tanpa rujukan ke FKRTL kecuali memenuhi kriteria kegawatan yang diatur secara eksplisit.</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historis Dewan Jaminan Sosial Nasional pada triwulan pertama 2015 mencatat bahwa dari 14.619.528 kunjungan FKTP, sebanyak 2.236.379 kunjungan dirujuk ke pelayanan sekunder, setara rasio rujukan 15,3%. Dari jumlah tersebut, 214.706 kunjungan atau 9,6% dari total rujukan tergolong rujukan nonspesialistik yang semestinya masih bisa dituntaskan di FKTP tanpa rujukan [9]. Data ini memang sudah berusia lebih dari sepuluh tahun, dan belum ada mekanisme pemantauan berkelanjutan berbasis skor risiko yang menggantikan pemantauan manual periodik sejak saat itu, sehingga proporsi rujukan tidak perlu pada skala nasional saat ini belum terpetakan secara sistematis. Kesenjangan pemantauan inilah yang menjadi alasan utama pengajuan sistem ini, bukan asumsi bahwa angka 9,6% tersebut masih berlaku persis hari ini.</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Kerawanan verifikasi berbasis dokumen administratif semata sudah terbukti pada kategori kecurangan klaim lain di Program JKN. Inspektorat Jenderal Kementerian Kesehatan mencatat bahwa dari 4.341 klaim fisioterapi yang ditagihkan tiga rumah sakit untuk periode pelayanan Juli 2017 sampai Juni 2018, hanya 1.072 klaim atau 24,7% yang memiliki catatan rekam medis pendukung saat diaudit ulang pada 2024, dengan estimasi kerugian negara pada tiga rumah sakit tersebut berkisar Rp25 miliar sampai Rp43 miliar [8]. Temuan ini secara spesifik menyangkut klaim fiktif (phantom billing), bukan rujukan semu, namun menunjukkan pola yang relevan untuk kedua kategori: dokumen administratif yang lengkap dan tampak sah dapat direkayasa secara terkoordinasi, sehingga verifikasi yang hanya memeriksa kelengkapan dokumen berisiko tinggi meloloskan kecurangan yang sudah dipersiapkan dengan rapi.</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volume rujukan yang berpotensi mencapai puluhan juta episode per tahun pada skala nasional, audit manual satu per satu terhadap seluruh rujukan tidak sebanding dengan kapasitas SDM verifikator BPJS Kesehatan maupun TKMKB. Kebutuhan utamanya bukan menambah beban audit secara merata, melainkan mekanisme pemrioritasan otomatis berbasis skor risiko yang menyaring rujukan berisiko tinggi tanpa membebani seluruh volume klaim dengan proses manual.</w:t>
      </w:r>
    </w:p>
    <w:p w:rsidR="00000000" w:rsidDel="00000000" w:rsidP="00000000" w:rsidRDefault="00000000" w:rsidRPr="00000000" w14:paraId="0000000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comgmytg5zhx" w:id="3"/>
      <w:bookmarkEnd w:id="3"/>
      <w:r w:rsidDel="00000000" w:rsidR="00000000" w:rsidRPr="00000000">
        <w:rPr>
          <w:rFonts w:ascii="Times New Roman" w:cs="Times New Roman" w:eastAsia="Times New Roman" w:hAnsi="Times New Roman"/>
          <w:b w:val="1"/>
          <w:bCs w:val="1"/>
          <w:sz w:val="24"/>
          <w:szCs w:val="24"/>
          <w:rtl w:val="0"/>
        </w:rPr>
        <w:t xml:space="preserve">3. Solusi dan Keunggulan</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SIRUJUK Anti Fraud dirancang sebagai sistem skoring risiko empat lapis yang bekerja pada titik penerbitan rujukan, bukan semata sebagai audit pascaklaim. Lapis pertama adalah pengecekan silang berbasis aturan terhadap data ketersediaan fasilitas. Lapis kedua adalah deteksi anomali statistik pada pola rujukan per dokter dan per faskes. Lapis ketiga adalah analisis jaringan hubungan dokter perujuk dan faskes tujuan. Lapis keempat adalah pemrosesan bahasa alami pada narasi klinis rujukan. Keunggulan utama sistem ini terletak pada kombinasi bukti dokumen dengan bukti struktural. Satu dokumen rujukan yang direkayasa dapat dibuat tampak sah, tetapi pola berulang, misalnya seorang dokter yang secara konsisten merujuk ke satu faskes tujuan yang sama dalam proporsi tidak wajar, atau rasio rujukan nonspesialistik yang jauh di atas dokter sejenis, jauh lebih sulit disembunyikan karena terbentuk dari akumulasi banyak transaksi lintas waktu, bukan dari satu transaksi tunggal yang bisa dirapikan secara terpisah.</w:t>
      </w:r>
    </w:p>
    <w:p w:rsidR="00000000" w:rsidDel="00000000" w:rsidP="00000000" w:rsidRDefault="00000000" w:rsidRPr="00000000" w14:paraId="0000000D">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jmorh713pelp" w:id="4"/>
      <w:bookmarkEnd w:id="4"/>
      <w:r w:rsidDel="00000000" w:rsidR="00000000" w:rsidRPr="00000000">
        <w:rPr>
          <w:rFonts w:ascii="Times New Roman" w:cs="Times New Roman" w:eastAsia="Times New Roman" w:hAnsi="Times New Roman"/>
          <w:b w:val="1"/>
          <w:bCs w:val="1"/>
          <w:sz w:val="24"/>
          <w:szCs w:val="24"/>
          <w:rtl w:val="0"/>
        </w:rPr>
        <w:t xml:space="preserve">4. Pendekatan Teknis dan Data</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mengintegrasikan lima sumber data. Data rujukan per episode, mencakup kode diagnosis, faskes asal dan tujuan, serta alasan rujukan, diambil dari P-Care dan V-Claim yang dikelola BPJS Kesehatan. Data ketersediaan alat, SDM, dan tempat tidur faskes tujuan diambil dari SISRUTE, yang terintegrasi dengan ASPAK, SIRANAP, dan SISDMK, dikelola Kementerian Kesehatan berdasarkan Keputusan Direktur Jenderal Pelayanan Kesehatan Nomor HK.02.02/D/1131/2023 [5]. Data kredensial dokter, berupa nomor SIP dan STR, spesialisasi, dan status aktif praktik, dikelola Konsil Kedokteran Indonesia dan Kementerian Kesehatan. Baseline 144 diagnosis nonspesialistik sebagai acuan kewajaran rujukan diambil dari Panduan Praktik Klinis sesuai Permenkes Nomor 5 Tahun 2014 [2]. Riwayat rujukan historis, sebagai basis pelatihan model anomali dan kalibrasi ambang keputusan, diambil dari data internal BPJS Kesehatan. Status ketersediaan dan aktivitas endpoint SISRUTE maupun layanan SIRS Ditjen Yankes perlu diverifikasi langsung ke Pusat Data dan Teknologi Informasi Kementerian Kesehatan sebelum desain integrasi teknis final ditetapkan, karena dokumentasi publik yang tersedia tidak selalu mencerminkan status operasional terkini layanan tersebut.</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 indikator kuantitatif dipakai sebagai dasar skoring. Indikator pertama adalah rasio rujukan nonspesialistik, dirumuskan sebagai NS(d) sama dengan jumlah rujukan dokter d untuk diagnosis dalam 144 KNS dibagi total rujukan dokter d, dihitung atas periode berjalan 90 hari dengan syarat minimum 20 rujukan agar bermakna secara statistik. NS(d) yang melebihi persentil ke 95 dari distribusi NS seluruh dokter dengan spesialisasi dan tipe faskes yang sama pada periode yang sama diberi tanda risiko.</w:t>
      </w:r>
    </w:p>
    <w:p w:rsidR="00000000" w:rsidDel="00000000" w:rsidP="00000000" w:rsidRDefault="00000000" w:rsidRPr="00000000" w14:paraId="0000001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kedua adalah indeks konsentrasi rujukan, memakai pendekatan Herfindahl Hirschman Index, dirumuskan sebagai HHI(d) sama dengan jumlah dari kuadrat s(d,j) dikali 10.000, dengan s(d,j) adalah proporsi rujukan dokter d ke faskes tujuan j terhadap total rujukan dokter d, dihitung atas minimum 30 rujukan dalam 180 hari terakhir. Mengadaptasi konvensi analisis konsentrasi pasar, HHI di bawah 1.500 dianggap wajar, 1.500 sampai 2.500 masuk kategori observasi, dan di atas 2.500 masuk kategori konsentrasi tinggi yang memerlukan klarifikasi.</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ketiga adalah validasi ketersediaan fasilitas, dirumuskan sebagai Flag(i) sama dengan 1 jika alasan rujukan menyebut keterbatasan alat atau SDM namun data SISRUTE pada faskes asal menunjukkan status tersedia pada tanggal rujukan diterbitkan, dan 0 pada kondisi sebaliknya. Kepercayaan terhadap Flag(i) diberi bobot w_f sama dengan 1 dibagi (1 ditambah hari sejak pembaruan terakhir data SISRUTE faskes asal dibagi 30), sehingga faskes yang jarang memperbarui data mendapat bobot lebih rendah, sebagai mitigasi terhadap keterbatasan pembaruan data SISRUTE yang sudah terdokumentasi di lapangan.</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keempat adalah skor kesesuaian narasi klinis, dirumuskan sebagai NLP(i) sama dengan cosine similarity antara vektor embedding narasi rujukan bebas dan vektor embedding templat Panduan Praktik Klinis untuk diagnosis terkait, dengan rentang nilai 0 sampai 1. Narasi dengan NLP(i) di bawah persentil ke 10 dari distribusi historis, indikasi narasi yang terlalu generik dan tidak spesifik secara klinis, diberi tambahan bobot risiko.</w:t>
      </w:r>
    </w:p>
    <w:p w:rsidR="00000000" w:rsidDel="00000000" w:rsidP="00000000" w:rsidRDefault="00000000" w:rsidRPr="00000000" w14:paraId="0000001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Keempat indikator digabung menjadi satu skor komposit, dirumuskan sebagai S(i) sama dengan 100 dikali sigmoid dari w1 dikali Z(NS) ditambah w2 dikali Z(HHI) ditambah w3 dikali w_f dikali Flag(i) ditambah w4 dikali (1 dikurangi NLP(i)). Z() adalah transformasi z score robust memakai median dan median absolute deviation, dipilih agar skor tidak sensitif terhadap outlier ekstrem. Pada tahap awal, bobot w1 sampai w4 ditetapkan sama rata (0,25 masing masing) sebagai baseline heuristik, dan dikalibrasi ulang memakai regresi logistik begitu tersedia data hasil audit berlabel, dengan target minimum 200 kasus berlabel untuk estimasi awal yang stabil, mengikuti kaidah praktis minimal 10 observasi per variabel prediktor dalam regresi logistik. Skor ini kemudian diklasifikasikan menjadi tiga kategori keputusan. Kategori hijau, untuk S(i) di bawah persentil 80, membuat rujukan lolos otomatis tanpa review manual. Kategori kuning, untuk S(i) pada persentil 80 sampai 95, memasukkan rujukan ke antrean review verifikator dengan prioritas menengah. Kategori merah, untuk S(i) di atas persentil 95, menahan klaim sementara dan mewajibkan audit medis serta konfirmasi ke faskes sebelum pembayaran.</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proporsi kasus fraud sesungguhnya terhadap total rujukan diperkirakan rendah, konsisten dengan pola umum pada literatur deteksi fraud asuransi kesehatan yang umumnya berada di bawah 5%, evaluasi model tidak memadai jika hanya memakai akurasi keseluruhan, karena model yang selalu menjawab tidak fraud pun akan tetap tampak akurat pada data semacam ini. Tiga metrik dipakai sebagai gantinya. Precision pada kategori merah ditargetkan minimum 60%, artinya dari setiap 10 klaim yang ditahan sistem, sekurang kurangnya 6 terbukti benar bermasalah saat diaudit manual, agar beban audit tambahan bagi TKMKB tetap proporsional. Recall pada data uji berlabel ditargetkan minimum 70%, artinya dari total kasus fraud yang benar benar teridentifikasi lewat audit independen, sekurang kurangnya 70% tertangkap sistem pada kategori kuning atau merah. False discovery rate pada kategori merah dijaga maksimum 40%, untuk membatasi rasio klaim yang ditahan namun ternyata sah, agar proses klaim faskes yang patuh tidak terganggu berlebihan.</w:t>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a6k1ebg05med" w:id="5"/>
      <w:bookmarkEnd w:id="5"/>
      <w:r w:rsidDel="00000000" w:rsidR="00000000" w:rsidRPr="00000000">
        <w:rPr>
          <w:rFonts w:ascii="Times New Roman" w:cs="Times New Roman" w:eastAsia="Times New Roman" w:hAnsi="Times New Roman"/>
          <w:b w:val="1"/>
          <w:bCs w:val="1"/>
          <w:sz w:val="24"/>
          <w:szCs w:val="24"/>
          <w:rtl w:val="0"/>
        </w:rPr>
        <w:t xml:space="preserve">5. Tingkat Kematangan Teknologi</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berada pada Tingkat Kesiapterapan Teknologi (TKT) 2 sampai 3, yaitu tahap perumusan konsep teknologi menuju pembuktian konsep secara analitis di atas data simulasi (proof of concept), dan belum diuji pada data produksi maupun lingkungan operasional riil. Kenaikan menuju TKT 4 ke atas, yaitu validasi komponen pada lingkungan laboratorium atau simulasi yang representatif, bergantung pada keberhasilan tahap pilot yang diuraikan pada bagian berikut.</w:t>
      </w:r>
    </w:p>
    <w:p w:rsidR="00000000" w:rsidDel="00000000" w:rsidP="00000000" w:rsidRDefault="00000000" w:rsidRPr="00000000" w14:paraId="0000001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crj1k6uuetpz" w:id="6"/>
      <w:bookmarkEnd w:id="6"/>
      <w:r w:rsidDel="00000000" w:rsidR="00000000" w:rsidRPr="00000000">
        <w:rPr>
          <w:rFonts w:ascii="Times New Roman" w:cs="Times New Roman" w:eastAsia="Times New Roman" w:hAnsi="Times New Roman"/>
          <w:b w:val="1"/>
          <w:bCs w:val="1"/>
          <w:sz w:val="24"/>
          <w:szCs w:val="24"/>
          <w:rtl w:val="0"/>
        </w:rPr>
        <w:t xml:space="preserve">6. Rencana dan Kelayakan</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direncanakan dalam empat tahap sepanjang satu tahun. Tahap pertama, pada bulan 1 sampai 2, adalah pengembangan model di atas data simulasi dan data sampel JKN publik, dengan kriteria keluar berupa precision simulasi minimum 60% pada skenario anomali yang disuntikkan secara terkontrol. Tahap kedua, pada bulan 3 sampai 5, adalah pilot terbatas pada 10 sampai 20 FKTP dan 5 sampai 10 FKRTL mitra di 1 sampai 2 kabupaten atau kota, dengan target volume uji minimum 5.000 episode rujukan, dan kriteria keluar berupa precision kategori merah tervalidasi minimum 50% terhadap audit manual sampel. Tahap ketiga, pada bulan 6 sampai 9, adalah integrasi ke P-Care/V-Claim dan SISRUTE dengan pendampingan TKMKB, perluasan ke minimal 1 provinsi, serta kalibrasi ulang bobot model memakai data berlabel hasil pilot. Tahap keempat, pada bulan 10 sampai 12, adalah evaluasi menyeluruh dan penyusunan rencana perluasan nasional, disertai laporan dampak kuantitatif dibandingkan kondisi awal sebelum implementasi. Kelayakan pelaksanaan bergantung pada dua prasyarat utama: akses resmi ke data SISRUTE, yang status dan keaktifan endpointnya perlu diverifikasi ke Kementerian Kesehatan sebelum desain teknis final ditetapkan, dan dukungan regulasi bagi mekanisme human in the loop pada kategori merah, sehingga keputusan akhir tetap berada pada TKMKB, bukan otomatis oleh sistem.</w:t>
      </w:r>
    </w:p>
    <w:p w:rsidR="00000000" w:rsidDel="00000000" w:rsidP="00000000" w:rsidRDefault="00000000" w:rsidRPr="00000000" w14:paraId="0000001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v6km3epw5ps1" w:id="7"/>
      <w:bookmarkEnd w:id="7"/>
      <w:r w:rsidDel="00000000" w:rsidR="00000000" w:rsidRPr="00000000">
        <w:rPr>
          <w:rFonts w:ascii="Times New Roman" w:cs="Times New Roman" w:eastAsia="Times New Roman" w:hAnsi="Times New Roman"/>
          <w:b w:val="1"/>
          <w:bCs w:val="1"/>
          <w:sz w:val="24"/>
          <w:szCs w:val="24"/>
          <w:rtl w:val="0"/>
        </w:rPr>
        <w:t xml:space="preserve">7. Dampak dan Nilai</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ilustrasi orde besaran, bukan angka final: apabila proporsi rujukan nonspesialistik sebesar 9,6% dari total rujukan tetap relevan secara proporsional pada skala volume rujukan saat ini [9], dan sistem berhasil menurunkan separuh dari proporsi tersebut lewat efek pencegahan serta intervensi TKMKB pada kategori kuning dan merah, maka potensi pengurangan rujukan tidak perlu berada pada kisaran 4 sampai 5% dari total volume rujukan nasional. Angka ini murni ilustrasi berbasis asumsi eksplisit di atas, wajib diuji ulang dengan data aktual pada tahap pilot sebelum dijadikan klaim dampak resmi dalam laporan mana pun. Nilai non finansial mencakup tiga hal: memperkuat fungsi gatekeeper FKTP sesuai amanat Permenkes Nomor 16 Tahun 2024 tentang Sistem Rujukan Pelayanan Kesehatan Perseorangan [1], mempercepat titik deteksi dari yang semula bergantung pada audit sampling periodik menjadi skoring pada titik penerbitan rujukan, dan membangun basis data historis terstruktur yang dapat dipakai sebagai bahan kalibrasi kebijakan kendali biaya JKN di masa mendatang.</w:t>
      </w:r>
    </w:p>
    <w:p w:rsidR="00000000" w:rsidDel="00000000" w:rsidP="00000000" w:rsidRDefault="00000000" w:rsidRPr="00000000" w14:paraId="0000001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anrg082e7ya" w:id="8"/>
      <w:bookmarkEnd w:id="8"/>
      <w:r w:rsidDel="00000000" w:rsidR="00000000" w:rsidRPr="00000000">
        <w:rPr>
          <w:rFonts w:ascii="Times New Roman" w:cs="Times New Roman" w:eastAsia="Times New Roman" w:hAnsi="Times New Roman"/>
          <w:b w:val="1"/>
          <w:bCs w:val="1"/>
          <w:sz w:val="24"/>
          <w:szCs w:val="24"/>
          <w:rtl w:val="0"/>
        </w:rPr>
        <w:t xml:space="preserve">8. Risiko dan Privasi</w:t>
      </w:r>
    </w:p>
    <w:p w:rsidR="00000000" w:rsidDel="00000000" w:rsidP="00000000" w:rsidRDefault="00000000" w:rsidRPr="00000000" w14:paraId="0000001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membawa sejumlah risiko yang perlu dikelola. Data diagnosis dan riwayat medis termasuk kategori data pribadi yang bersifat spesifik menurut Undang Undang Nomor 27 Tahun 2022 tentang Pelindungan Data Pribadi Pasal 4 [4], sehingga wajib diterapkan enkripsi saat transit maupun saat disimpan, kontrol akses berbasis peran, dan pencatatan log setiap akses data pasien. Risiko positif keliru dikelola lewat jalur klarifikasi tertulis bagi dokter dengan skor kategori kuning atau merah sebelum sanksi apa pun dijatuhkan, dengan keputusan akhir tetap berada pada TKMKB, bukan otomatis oleh sistem. Risiko bias data historis muncul apabila data pelatihan berasal dari praktik lama yang sudah bias secara regional, misalnya daerah dengan keterbatasan alat FKTP yang bersifat struktural, sehingga model berisiko salah mengarahkan tanda risiko ke faskes yang sebenarnya memiliki alasan struktural sah, dan dimitigasi lewat kalibrasi ambang yang distratifikasi per wilayah. Risiko kolusi dua arah muncul apabila dokter dan pasien sama sama sepakat memalsukan alasan rujukan, sehingga dokumen dan narasi klinis akan tampak konsisten dan berada di luar jangkauan deteksi modul yang dirancang pada proposal ini, terutama bila kejadiannya sporadis dan tidak berulang dari dokter yang sama. Ketergantungan pada kualitas data SISRUTE tetap menjadi risiko dasar meski sudah dimitigasi lewat bobot kesegaran data, karena masih banyak faskes yang belum rutin memperbarui data ketersediaan alat dan SDM. Terakhir, skor risiko yang dihasilkan sistem adalah alat bantu prioritisasi audit, bukan bukti kecurangan yang berdiri sendiri secara hukum, sehingga keputusan sanksi tetap memerlukan audit medis manusia dan proses sesuai Permenkes Nomor 16 Tahun 2019 [3].</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elm31d63o40d" w:id="9"/>
      <w:bookmarkEnd w:id="9"/>
      <w:r w:rsidDel="00000000" w:rsidR="00000000" w:rsidRPr="00000000">
        <w:rPr>
          <w:rFonts w:ascii="Times New Roman" w:cs="Times New Roman" w:eastAsia="Times New Roman" w:hAnsi="Times New Roman"/>
          <w:b w:val="1"/>
          <w:bCs w:val="1"/>
          <w:sz w:val="24"/>
          <w:szCs w:val="24"/>
          <w:rtl w:val="0"/>
        </w:rPr>
        <w:t xml:space="preserve">9. Profil Tim</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diisi sesuai komposisi tim yang sebenarnya mengikuti Healthkathon 2026, mencantumkan nama anggota, peran dalam tim (misalnya ketua tim dan arsitek sistem, pengembang model analitik dan NLP, pengembang antarmuka dan integrasi data, peneliti domain kebijakan JKN dan kepatuhan regulasi), serta kompetensi relevan masing masing.</w:t>
      </w:r>
    </w:p>
    <w:p w:rsidR="00000000" w:rsidDel="00000000" w:rsidP="00000000" w:rsidRDefault="00000000" w:rsidRPr="00000000" w14:paraId="0000002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cix45bbnul46" w:id="10"/>
      <w:bookmarkEnd w:id="10"/>
      <w:r w:rsidDel="00000000" w:rsidR="00000000" w:rsidRPr="00000000">
        <w:rPr>
          <w:rFonts w:ascii="Times New Roman" w:cs="Times New Roman" w:eastAsia="Times New Roman" w:hAnsi="Times New Roman"/>
          <w:b w:val="1"/>
          <w:bCs w:val="1"/>
          <w:sz w:val="24"/>
          <w:szCs w:val="24"/>
          <w:rtl w:val="0"/>
        </w:rPr>
        <w:t xml:space="preserve">Limitasi</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ini memiliki sejumlah keterbatasan yang perlu diakui secara eksplisit. Sistem bekerja di atas data yang sudah tercatat, bukan kebenaran klinis riil pasien, sehingga pada skenario pasien memalsukan keluhan kepada dokter FKTP agar mendapat rujukan, dokumen yang dihasilkan akan tampak konsisten secara administratif, dan modul cross check ASPAK/SISRUTE, NLP, maupun HHI tidak dirancang untuk mengukur kebenaran biologis gejala pasien, sehingga pola pemalsuan dari sisi peserta ini berada di luar cakupan deteksi versi sistem saat ini. Deteksi pemalsuan dari sisi peserta membutuhkan lapisan berbeda, misalnya kecocokan antara keluhan yang dilaporkan dengan hasil pemeriksaan objektif atau pola perilaku peserta lintas waktu, yang belum termasuk dalam rancangan modul pada proposal ini dan diusulkan sebagai pengembangan lanjutan pascapilot. Sistem juga tetap rentan terhadap kolusi dua arah antara dokter dan pasien. Formula dan ambang yang diuraikan pada bagian pendekatan teknis adalah rancangan awal berbasis baseline historis 2015 dan konvensi analisis konsentrasi pasar, bukan hasil kalibrasi final, sehingga nilai bobot, ambang persentil, dan target precision serta recall wajib dikalibrasi ulang begitu data pelatihan berlabel tersedia dari tahap pilot. Terakhir, skor risiko tetap merupakan alat bantu prioritisasi audit, bukan bukti hukum yang berdiri sendiri, dan keputusan akhir terkait sanksi tetap memerlukan audit medis manusia serta proses sesuai Permenkes Nomor 16 Tahun 2019.</w:t>
      </w:r>
    </w:p>
    <w:p w:rsidR="00000000" w:rsidDel="00000000" w:rsidP="00000000" w:rsidRDefault="00000000" w:rsidRPr="00000000" w14:paraId="0000002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iijpdr81bb6y" w:id="11"/>
      <w:bookmarkEnd w:id="11"/>
      <w:r w:rsidDel="00000000" w:rsidR="00000000" w:rsidRPr="00000000">
        <w:rPr>
          <w:rFonts w:ascii="Times New Roman" w:cs="Times New Roman" w:eastAsia="Times New Roman" w:hAnsi="Times New Roman"/>
          <w:b w:val="1"/>
          <w:bCs w:val="1"/>
          <w:sz w:val="24"/>
          <w:szCs w:val="24"/>
          <w:rtl w:val="0"/>
        </w:rPr>
        <w:t xml:space="preserve">Daftar Referensi</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Peraturan Menteri Kesehatan Nomor 16 Tahun 2024 tentang Sistem Rujukan Pelayanan Kesehatan Perseorangan. https://peraturan.bpk.go.id/Details/308445/permenkes-no-16-tahun-2024</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Peraturan Menteri Kesehatan Nomor 5 Tahun 2014 tentang Panduan Praktik Klinis bagi Dokter di Fasilitas Pelayanan Kesehatan Primer. https://peraturan.bpk.go.id/Details/116719/permenkes-no-5-tahun-2014</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Peraturan Menteri Kesehatan Nomor 16 Tahun 2019 tentang Pencegahan dan Penanganan Kecurangan (Fraud) serta Pengenaan Sanksi Administrasi terhadap Kecurangan dalam Pelaksanaan Program Jaminan Kesehatan. https://peraturan.bpk.go.id/Details/129762/permenkes-no-16-tahun-2019</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Undang Undang Nomor 27 Tahun 2022 tentang Pelindungan Data Pribadi. https://peraturan.bpk.go.id/Details/229798/uu-no-27-tahun-2022</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Keputusan Direktur Jenderal Pelayanan Kesehatan Nomor HK.02.02/D/1131/2023 tentang Petunjuk Teknis Penggunaan Aplikasi Sistem Informasi Rujukan Terintegrasi (SISRUTE). https://keslan.kemkes.go.id/unduhan/fileunduhan_1706436147_906753.pdf</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BPJS Kesehatan. Statistik peserta dan fasilitas kesehatan JKN per 31 Juli 2026. https://bpjs-kesehatan.go.id/</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CNN Indonesia. BPJS Kesehatan Ungkap Alasan Rujukan Berjenjang Dimulai dari FKTP, 5 Desember 2025. https://www.cnnindonesia.com/ekonomi/20251205132146-625-1303196/bpjs-kesehatan-ungkap-alasan-rujukan-berjenjang-dimulai-dari-fktp</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Inspektorat Jenderal Kementerian Kesehatan Republik Indonesia. Tindak Lanjut dan Pemberian Sanksi atas Dugaan Klaim Fiktif di 3 RS Swasta. https://itjen.kemkes.go.id/index.php/berita/detail/tindaklanjut-dan-pemberian-sanksi-atas-dugaan-klaim-fiktif-di-3-rs-swasta</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Kompasiana. Salah Kaprah Soal 155 Diagnosis Tidak Boleh Dirujuk, mengutip data Dewan Jaminan Sosial Nasional triwulan I 2015. https://www.kompasiana.com/tonangardyanto/56a669f54c7a616b048b45d2/salah-kaprah-soal-155-diagnosis-tidak-boleh-dirujuk?page=all&amp;page_images=1</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