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22"/>
          <w:szCs w:val="22"/>
        </w:rPr>
        <w:t xml:space="preserve">Ek-A</w:t>
      </w:r>
    </w:p>
    <w:p>
      <w:pPr>
        <w:spacing w:after="60"/>
      </w:pPr>
      <w:r>
        <w:rPr>
          <w:rFonts w:ascii="Arial" w:cs="Arial" w:eastAsia="Arial" w:hAnsi="Arial"/>
          <w:b/>
          <w:bCs/>
          <w:sz w:val="36"/>
          <w:szCs w:val="36"/>
        </w:rPr>
        <w:t xml:space="preserve">Teknik Doğrulama ve Performans Raporu</w:t>
      </w:r>
    </w:p>
    <w:p>
      <w:pPr>
        <w:spacing w:after="160"/>
      </w:pPr>
      <w:r>
        <w:rPr>
          <w:rFonts w:ascii="Arial" w:cs="Arial" w:eastAsia="Arial" w:hAnsi="Arial"/>
          <w:color w:val="595959"/>
          <w:sz w:val="17"/>
          <w:szCs w:val="17"/>
        </w:rPr>
        <w:t xml:space="preserve">MotoMap · TÜBİTAK 1812 Yatırım Tabanlı Girişimcilik Destekleme Programı · AGY 112 İş Planı eki · Çağrı 1812-2026-2 · Düzenleme tarihi: 30.09.2026</w:t>
      </w:r>
    </w:p>
    <w:p>
      <w:pPr>
        <w:pStyle w:val="Heading1"/>
        <w:keepNext/>
        <w:spacing w:after="100" w:before="260"/>
      </w:pPr>
      <w:r>
        <w:rPr>
          <w:rFonts w:ascii="Arial" w:cs="Arial" w:eastAsia="Arial" w:hAnsi="Arial"/>
          <w:b/>
          <w:bCs/>
          <w:i w:val="false"/>
          <w:iCs w:val="false"/>
          <w:color w:val="000000"/>
          <w:sz w:val="26"/>
          <w:szCs w:val="26"/>
        </w:rPr>
        <w:t xml:space="preserve">A.1 Amaç ve kapsam</w:t>
      </w:r>
    </w:p>
    <w:p>
      <w:pPr>
        <w:spacing w:after="90"/>
      </w:pPr>
      <w:r>
        <w:rPr>
          <w:rFonts w:ascii="Arial" w:cs="Arial" w:eastAsia="Arial" w:hAnsi="Arial"/>
          <w:sz w:val="18"/>
          <w:szCs w:val="18"/>
        </w:rPr>
        <w:t xml:space="preserve">Bu ek, MotoMap rota motorunun algoritmik doğruluğunu ve sunucu performansını tarihli ölçüm kayıtlarıyla belgelemek amacıyla hazırlanmıştır; iş planının 1.1, 2.1, 2.2 ve 3.1 alanlarında (K15) verilen teknik sonuçların kaynağı, yöntemi ve sınırları ile 4.3'teki saha doğrulama ölçütlerinin çerçevesi sunulmaktadır.</w:t>
      </w:r>
    </w:p>
    <w:p>
      <w:pPr>
        <w:spacing w:after="90"/>
      </w:pPr>
      <w:r>
        <w:rPr>
          <w:rFonts w:ascii="Arial" w:cs="Arial" w:eastAsia="Arial" w:hAnsi="Arial"/>
          <w:sz w:val="18"/>
          <w:szCs w:val="18"/>
        </w:rPr>
        <w:t xml:space="preserve">Bu ekteki sonuçlar, laboratuvar ortamında yürütülen algoritmik doğruluk testleri ile sunucu yanıt süresi ölçümleridir; motosiklet varış süresinin (ETA) sahadaki doğruluğunu göstermez. Saha sürüşlerinden elde edilmiş bir ETA doğruluk sonucu bulunmamaktadır; ilk saha sonucu Haziran 2027'de (Ay 6) Doğruluk Raporu 1 ile raporlanacaktır (A.9).</w:t>
      </w:r>
    </w:p>
    <w:p>
      <w:pPr>
        <w:spacing w:after="90"/>
      </w:pPr>
      <w:r>
        <w:rPr>
          <w:rFonts w:ascii="Arial" w:cs="Arial" w:eastAsia="Arial" w:hAnsi="Arial"/>
          <w:sz w:val="18"/>
          <w:szCs w:val="18"/>
        </w:rPr>
        <w:t xml:space="preserve">Ekte “rota çekirdeği”, Cython ile derlenmiş Özelleştirilebilir Daralma Hiyerarşisi (Customizable Contraction Hierarchies, CCH) arama çekirdeğini; “dönüş kısıtlı sürüm”, aynı çekirdeğin yasak dönüşleri yapısal olarak dışlayan kenar genişletilmiş graf üzerindeki kullanımını ifade etmektedir. “Referans algoritma”, hızlandırma içermeyen ve doğruluğu bilinen Dijkstra en kısa yol algoritmasıdır (K11).</w:t>
      </w:r>
    </w:p>
    <w:p>
      <w:pPr>
        <w:spacing w:after="90"/>
      </w:pPr>
      <w:r>
        <w:rPr>
          <w:rFonts w:ascii="Arial" w:cs="Arial" w:eastAsia="Arial" w:hAnsi="Arial"/>
          <w:sz w:val="18"/>
          <w:szCs w:val="18"/>
        </w:rPr>
        <w:t xml:space="preserve">Değerlerin niteliği A.10'daki statülerle (ÖLÇÜLDÜ, HEDEF, VARSAYIM, ÖZ DEĞERLENDİRME, KAYIT YOK) gösterilmektedir; birincil kayıtların depo yolları A.8'dedir.</w:t>
      </w:r>
    </w:p>
    <w:p>
      <w:pPr>
        <w:pStyle w:val="Heading1"/>
        <w:keepNext/>
        <w:spacing w:after="100" w:before="260"/>
      </w:pPr>
      <w:r>
        <w:rPr>
          <w:rFonts w:ascii="Arial" w:cs="Arial" w:eastAsia="Arial" w:hAnsi="Arial"/>
          <w:b/>
          <w:bCs/>
          <w:i w:val="false"/>
          <w:iCs w:val="false"/>
          <w:color w:val="000000"/>
          <w:sz w:val="26"/>
          <w:szCs w:val="26"/>
        </w:rPr>
        <w:t xml:space="preserve">A.2 Test edilen sürüm ve ortam</w:t>
      </w:r>
    </w:p>
    <w:p>
      <w:pPr>
        <w:spacing w:after="90"/>
      </w:pPr>
      <w:r>
        <w:rPr>
          <w:rFonts w:ascii="Arial" w:cs="Arial" w:eastAsia="Arial" w:hAnsi="Arial"/>
          <w:sz w:val="18"/>
          <w:szCs w:val="18"/>
        </w:rPr>
        <w:t xml:space="preserve">Ölçümler, rota motorunu, sunucu uygulamasını ve uygulama programlama arayüzünü (API) içeren motomap-engine deposunun kodu üzerinde yapılmıştır. Deponun git geçmişi 02.09.2026 tarihli 3fa9253 commit'iyle başlamaktadır. Temmuz 2026 ölçümlerini içeren sürüm notları, teknik rapor ve test dosyaları depoya bu commit ile aktarılmıştır; daha önceki geçmiş ve sürüm etiketleri depoda bulunmamaktadır. Sürüm adları (v0.7.1, v0.7.5) sürüm notlarından alınmıştır.</w:t>
      </w:r>
    </w:p>
    <w:p>
      <w:pPr>
        <w:keepNext/>
        <w:spacing w:after="60" w:before="140"/>
      </w:pPr>
      <w:r>
        <w:rPr>
          <w:rFonts w:ascii="Arial" w:cs="Arial" w:eastAsia="Arial" w:hAnsi="Arial"/>
          <w:b/>
          <w:bCs/>
          <w:sz w:val="18"/>
          <w:szCs w:val="18"/>
        </w:rPr>
        <w:t xml:space="preserve">Tablo A-1. Test edilen yazılım sürümleri ve ölçüm ortamları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3268"/>
        <w:gridCol w:w="1386"/>
        <w:gridCol w:w="3568"/>
      </w:tblGrid>
      <w:tr>
        <w:trPr>
          <w:cantSplit/>
          <w:tblHeader/>
        </w:trPr>
        <w:tc>
          <w:tcPr>
            <w:tcW w:type="dxa" w:w="16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Ölçüm</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Sürüm ve commit</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35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Ortam</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çekirdeğinin referans algoritmayla karşılaştırılması (40/40)</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Motor v0.7.1; teknik rapor v0.7.5. Ölçülen kodun commit karması bu depoda bulunmamaktadır.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 2026 (sürüm notu 21.07.2026)</w:t>
            </w:r>
          </w:p>
        </w:tc>
        <w:tc>
          <w:tcPr>
            <w:tcW w:type="dxa" w:w="35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yol ağı: 3.039 düğüm, 6.393 bağlantı. Derlenmiş CCH çekirdeği; referans: NetworkX kütüphanesindeki Dijkstra uygulaması.</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Dönüş kısıtlı sürüm (30/30)</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sürüm</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Temmuz 2026</w:t>
            </w:r>
          </w:p>
        </w:tc>
        <w:tc>
          <w:tcPr>
            <w:tcW w:type="dxa" w:w="35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kenar genişletilmiş grafı: 6.375 düğüm, 14.566 ark; 50 etkin OpenStreetMap (OSM) dönüş kısıtı; referans: dönüş duyarlı Dijkstra</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 testi (39 ms; 2,5 s)</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Sonuçlar f786171 commit iletisinde kayıtlıdır (08.09.2026 03:07; dal feat/vps-deploy-replan-and-security) ve ana dala 7640bf6 (08.09.2026) ile alınmıştır. Sunucuya kurulan paket yerel çalışma ağacından üretildiği için ölçüm anındaki commit karması kaydedilmemiştir.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07.09.2026</w:t>
            </w:r>
          </w:p>
        </w:tc>
        <w:tc>
          <w:tcPr>
            <w:tcW w:type="dxa" w:w="35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api.motomap.co adresindeki canlı hizmetin çalıştığı sanal özel sunucu (VPS): 2 sanal çekirdek, 8 GB bellek; Docker Compose üretim profili; PostgreSQL 16, Redis 7; Uvicorn 1 ve 2 işçi; bölge Kadıköy</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Otomatik test paketi</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Çalışma kopyası 66e7dd0 (26.09.2026, dal feat/tester-feedback); ana dal 7640bf6</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Ana dala her gönderimde ve her birleştirme isteğinde</w:t>
            </w:r>
          </w:p>
        </w:tc>
        <w:tc>
          <w:tcPr>
            <w:tcW w:type="dxa" w:w="35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 Actions, Ubuntu, Python 3.13; CCH çekirdeği derlenip doğrulanmadan testler başlamaz. Son kayıtlı toplu çalıştırmada (06.09.2026) 1.882 test geçmiş, 1 test atlanmıştır (K5)</w:t>
            </w:r>
          </w:p>
        </w:tc>
      </w:tr>
      <w:tr>
        <w:trPr>
          <w:cantSplit/>
          <w:tblHeader w:val="off"/>
        </w:trPr>
        <w:tc>
          <w:tcPr>
            <w:tcW w:type="dxa" w:w="16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hizmet</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Son API dağıtımı 26.09.2026 14:43; paket yerel çalışma ağacından üretilmiştir, dağıtımdan önceki son commit 0f86fe2'dir.</w:t>
            </w:r>
          </w:p>
        </w:tc>
        <w:tc>
          <w:tcPr>
            <w:tcW w:type="dxa" w:w="138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07.09.2026'dan beri</w:t>
            </w:r>
          </w:p>
        </w:tc>
        <w:tc>
          <w:tcPr>
            <w:tcW w:type="dxa" w:w="35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api.motomap.co; motorun kendi grafı Kadıköy'ü kapsar</w:t>
            </w:r>
          </w:p>
        </w:tc>
      </w:tr>
    </w:tbl>
    <w:p>
      <w:pPr>
        <w:spacing w:after="60"/>
      </w:pPr>
    </w:p>
    <w:p>
      <w:pPr>
        <w:spacing w:after="100" w:before="40"/>
      </w:pPr>
      <w:r>
        <w:rPr>
          <w:rFonts w:ascii="Arial" w:cs="Arial" w:eastAsia="Arial" w:hAnsi="Arial"/>
          <w:i/>
          <w:iCs/>
          <w:color w:val="595959"/>
          <w:sz w:val="16"/>
          <w:szCs w:val="16"/>
        </w:rPr>
        <w:t xml:space="preserve">Not: Commit karmaları ve tarihleri 30.09.2026'da deponun yerel kopyasında git log ile okunmuştur. Canlı hizmet tarihleri motomap-deploy aracının dağıtım günlüğünden alınmıştır (K10). Canlıdaki sürüm, yük testinin yapıldığı 07.09.2026 sürümünden sonraki değişiklikleri içermektedir (A.11).</w:t>
      </w:r>
    </w:p>
    <w:p>
      <w:pPr>
        <w:pStyle w:val="Heading1"/>
        <w:keepNext/>
        <w:spacing w:after="100" w:before="260"/>
      </w:pPr>
      <w:r>
        <w:rPr>
          <w:rFonts w:ascii="Arial" w:cs="Arial" w:eastAsia="Arial" w:hAnsi="Arial"/>
          <w:b/>
          <w:bCs/>
          <w:i w:val="false"/>
          <w:iCs w:val="false"/>
          <w:color w:val="000000"/>
          <w:sz w:val="26"/>
          <w:szCs w:val="26"/>
        </w:rPr>
        <w:t xml:space="preserve">A.3 Mimari özeti</w:t>
      </w:r>
    </w:p>
    <w:p>
      <w:pPr>
        <w:spacing w:after="90"/>
      </w:pPr>
      <w:r>
        <w:rPr>
          <w:rFonts w:ascii="Arial" w:cs="Arial" w:eastAsia="Arial" w:hAnsi="Arial"/>
          <w:sz w:val="18"/>
          <w:szCs w:val="18"/>
        </w:rPr>
        <w:t xml:space="preserve">Rota ve süre hesabı MotoMap'in kendi sunucusunda yapılmaktadır. Dış hizmetler harita zemini, canlı trafik ölçümü, adres ve ilgi noktası araması ile yükseklik verisi sağlamakta, rotayı belirlememektedir (K1 §1; K8; iş planı 2.4). Tablo A-2 katmanları ve bu ekteki testlerin hangi katmanı sınadığını göstermektedir.</w:t>
      </w:r>
    </w:p>
    <w:p>
      <w:pPr>
        <w:keepNext/>
        <w:spacing w:after="60" w:before="140"/>
      </w:pPr>
      <w:r>
        <w:rPr>
          <w:rFonts w:ascii="Arial" w:cs="Arial" w:eastAsia="Arial" w:hAnsi="Arial"/>
          <w:b/>
          <w:bCs/>
          <w:sz w:val="18"/>
          <w:szCs w:val="18"/>
        </w:rPr>
        <w:t xml:space="preserve">Tablo A-2. Rota motorunun katmanları ve bu ekteki testlerle ilişkisi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5"/>
        <w:gridCol w:w="4655"/>
        <w:gridCol w:w="1981"/>
        <w:gridCol w:w="1785"/>
      </w:tblGrid>
      <w:tr>
        <w:trPr>
          <w:cantSplit/>
          <w:tblHeader/>
        </w:trPr>
        <w:tc>
          <w:tcPr>
            <w:tcW w:type="dxa" w:w="14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Katman</w:t>
            </w:r>
          </w:p>
        </w:tc>
        <w:tc>
          <w:tcPr>
            <w:tcW w:type="dxa" w:w="465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İşlev ve yöntem</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 ya da belge</w:t>
            </w:r>
          </w:p>
        </w:tc>
        <w:tc>
          <w:tcPr>
            <w:tcW w:type="dxa" w:w="178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Sınayan bölüm</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OSM verisinden bölge grafı kurulur. Bisiklet yolu, yaya yolu ve yaya bölgesi, patika, basamak, bina içi geçit, at yolu ve arazi yolu türleri ile access, motor_vehicle ya da motorcycle etiketi no, private ya da emergency olan bağlantılar grafa alınmaz.</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motomap/algorithm.py, satır 57–70 ve 790–830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Birim testleri</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Dönüş kısıtları</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OSM dönüş kısıtı ilişkileri (type=restriction) Overpass hizmetinden çekilir ve 24 saat önbellekte tutulur. Yasaklayıcı (no_</w:t>
            </w:r>
            <w:r>
              <w:rPr>
                <w:rFonts w:ascii="Arial" w:cs="Arial" w:eastAsia="Arial" w:hAnsi="Arial"/>
                <w:i/>
                <w:iCs/>
                <w:sz w:val="17"/>
                <w:szCs w:val="17"/>
              </w:rPr>
              <w:t xml:space="preserve">) ve zorunlu (only_</w:t>
            </w:r>
            <w:r>
              <w:rPr>
                <w:rFonts w:ascii="Arial" w:cs="Arial" w:eastAsia="Arial" w:hAnsi="Arial"/>
                <w:sz w:val="17"/>
                <w:szCs w:val="17"/>
              </w:rPr>
              <w:t xml:space="preserve">) kısıtlar ayrıştırılır; ara üyesi yol olan kısıtlar bu sürümde atlanır.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motomap/turn_restrictions.py; api/services/restrictions.py, satır 100</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A.5, A.6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Kenar genişletilmiş graf</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yönlü bağlantı bir düğüme, izin verilen her dönüş bir arka dönüştürülür; yasak dönüşün arkı kurulmaz (K13).</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motomap/edge_expanded.py</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A.5, A.6</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Arama hiyerarşisi</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 ağırlıklardan bağımsız olarak bir kez sıralanır; her trafik güncellemesinde yalnız ağırlıklar yeniden hesaplanır ve bu adım özelleştirme olarak adlandırılır (K12, K14). Standart, viraj ve güvenli mod üç ayrı ağırlık kümesidir. Derlenmiş çekirdek yüklenemezse API başlamaz (06.09.2026'dan beri).</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motomap/cch_native/; K5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A.4, A.5</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trafik</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HERE Traffic Flow v7 yol parçası hızları OSM bağlantılarına en çok 45 m mesafe ve en çok 35° yön farkı ölçütüyle eşlenir. Trafik verisi 180 saniye geçerlidir; yenileme arka planda yapılır.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api/services/traffic.py, satır 56; K1 §5</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Kapsam ölçümü (A.11)</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 modeli</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Canlı otomobil hızına motosiklete özgü hız farkı eklenir. Farkın başlangıç değerleri ampirik dayanaktan yoksundur.</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 ekte sınanmamıştır</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Kurye sırası</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En iyi sırayı 12 durağa kadar kesin bulan Held-Karp dinamik programlaması; daha fazla durakta yaklaşık yöntem</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motomap/delivery.py, satır 36</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Birim testi (3, 5 ve 7 durak)</w:t>
            </w:r>
          </w:p>
        </w:tc>
      </w:tr>
      <w:tr>
        <w:trPr>
          <w:cantSplit/>
          <w:tblHeader w:val="off"/>
        </w:trPr>
        <w:tc>
          <w:tcPr>
            <w:tcW w:type="dxa" w:w="14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Sunucu</w:t>
            </w:r>
          </w:p>
        </w:tc>
        <w:tc>
          <w:tcPr>
            <w:tcW w:type="dxa" w:w="465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FastAPI uygulaması, PostgreSQL 16, Redis 7, Docker Compose; ana makinede Caddy ters vekil sunucusu; 2 Uvicorn işçisi</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docker-compose.prod.yml</w:t>
            </w:r>
          </w:p>
        </w:tc>
        <w:tc>
          <w:tcPr>
            <w:tcW w:type="dxa" w:w="178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A.7</w:t>
            </w:r>
          </w:p>
        </w:tc>
      </w:tr>
    </w:tbl>
    <w:p>
      <w:pPr>
        <w:spacing w:after="60"/>
      </w:pPr>
    </w:p>
    <w:p>
      <w:pPr>
        <w:spacing w:after="90"/>
      </w:pPr>
      <w:r>
        <w:rPr>
          <w:rFonts w:ascii="Arial" w:cs="Arial" w:eastAsia="Arial" w:hAnsi="Arial"/>
          <w:sz w:val="18"/>
          <w:szCs w:val="18"/>
        </w:rPr>
        <w:t xml:space="preserve">Motorun kendi grafı canlı hizmette Kadıköy'ü kapsamaktadır. Bu alanın dışındaki başlangıç ya da varış noktaları için 26.09.2026'dan itibaren açık kaynak GraphHopper 11 motoruyla kurulan Türkiye grafı kullanılmaktadır (commit 1c26891). Bu grafta üç sürüş modu, MotoMap'in maliyet tablolarından türetilen özel modellerle ve OSM dönüş kısıtlarıyla hesaplanmakta; canlı trafik ve motosiklet hız farkı uygulanmamaktadır (K8). Google yol tarifi yedeği varsayılan yapılandırmada kapalıdır (commit d8fbcf5). Bu ekteki doğruluk ve performans sonuçları yalnız motorun kendi grafını kapsar.</w:t>
      </w:r>
    </w:p>
    <w:p>
      <w:pPr>
        <w:pStyle w:val="Heading1"/>
        <w:keepNext/>
        <w:spacing w:after="100" w:before="260"/>
      </w:pPr>
      <w:r>
        <w:rPr>
          <w:rFonts w:ascii="Arial" w:cs="Arial" w:eastAsia="Arial" w:hAnsi="Arial"/>
          <w:b/>
          <w:bCs/>
          <w:i w:val="false"/>
          <w:iCs w:val="false"/>
          <w:color w:val="000000"/>
          <w:sz w:val="26"/>
          <w:szCs w:val="26"/>
        </w:rPr>
        <w:t xml:space="preserve">A.4 Rota çekirdeğinin referans algoritmayla karşılaştırılması (40/40)</w:t>
      </w:r>
    </w:p>
    <w:p>
      <w:pPr>
        <w:pStyle w:val="Heading2"/>
        <w:keepNext/>
        <w:spacing w:after="80" w:before="180"/>
      </w:pPr>
      <w:r>
        <w:rPr>
          <w:rFonts w:ascii="Arial" w:cs="Arial" w:eastAsia="Arial" w:hAnsi="Arial"/>
          <w:b/>
          <w:bCs/>
          <w:i w:val="false"/>
          <w:iCs w:val="false"/>
          <w:color w:val="000000"/>
          <w:sz w:val="21"/>
          <w:szCs w:val="21"/>
        </w:rPr>
        <w:t xml:space="preserve">A.4.1 Yöntem</w:t>
      </w:r>
    </w:p>
    <w:p>
      <w:pPr>
        <w:spacing w:after="90"/>
      </w:pPr>
      <w:r>
        <w:rPr>
          <w:rFonts w:ascii="Arial" w:cs="Arial" w:eastAsia="Arial" w:hAnsi="Arial"/>
          <w:sz w:val="18"/>
          <w:szCs w:val="18"/>
        </w:rPr>
        <w:t xml:space="preserve">Karşılaştırmanın amacı, derlenmiş CCH çekirdeğinin verdiği mesafe ve yolun, doğruluğu bilinen ve hızlandırma içermeyen referans algoritmanın sonucuyla aynı olduğunu göstermektir.</w:t>
      </w:r>
    </w:p>
    <w:p>
      <w:pPr>
        <w:pStyle w:val="ListParagraph"/>
        <w:numPr>
          <w:ilvl w:val="0"/>
          <w:numId w:val="2"/>
        </w:numPr>
        <w:spacing w:after="50"/>
      </w:pPr>
      <w:r>
        <w:rPr>
          <w:rFonts w:ascii="Arial" w:cs="Arial" w:eastAsia="Arial" w:hAnsi="Arial"/>
          <w:sz w:val="18"/>
          <w:szCs w:val="18"/>
        </w:rPr>
        <w:t xml:space="preserve">Referans algoritma: Dijkstra en kısa yol algoritmasının (K11) NetworkX kütüphanesindeki uygulaması. CCH kesin sonuç üreten bir yöntemdir (K12); bu nedenle beklenen sapma sıfırdır.</w:t>
      </w:r>
    </w:p>
    <w:p>
      <w:pPr>
        <w:pStyle w:val="ListParagraph"/>
        <w:numPr>
          <w:ilvl w:val="0"/>
          <w:numId w:val="2"/>
        </w:numPr>
        <w:spacing w:after="50"/>
      </w:pPr>
      <w:r>
        <w:rPr>
          <w:rFonts w:ascii="Arial" w:cs="Arial" w:eastAsia="Arial" w:hAnsi="Arial"/>
          <w:sz w:val="18"/>
          <w:szCs w:val="18"/>
        </w:rPr>
        <w:t xml:space="preserve">Veri: Kadıköy yol ağı (3.039 düğüm, 6.393 bağlantı). Ağda tek yönlü sokaklar bulunduğundan iki yöndeki bağlantı ağırlıkları farklıdır.</w:t>
      </w:r>
    </w:p>
    <w:p>
      <w:pPr>
        <w:pStyle w:val="ListParagraph"/>
        <w:numPr>
          <w:ilvl w:val="0"/>
          <w:numId w:val="2"/>
        </w:numPr>
        <w:spacing w:after="50"/>
      </w:pPr>
      <w:r>
        <w:rPr>
          <w:rFonts w:ascii="Arial" w:cs="Arial" w:eastAsia="Arial" w:hAnsi="Arial"/>
          <w:sz w:val="18"/>
          <w:szCs w:val="18"/>
        </w:rPr>
        <w:t xml:space="preserve">Sorgular: Kadıköy ağında 40 düğüm çifti. Teknik rapordaki gecikme ölçümü 40 rastgele düğüm çiftiyle yapılmıştır (K2); karşılaştırmada kullanılan çiftlerin listesi ve rastgele sayı tohumu raporda yer almamaktadır.</w:t>
      </w:r>
    </w:p>
    <w:p>
      <w:pPr>
        <w:pStyle w:val="ListParagraph"/>
        <w:numPr>
          <w:ilvl w:val="0"/>
          <w:numId w:val="2"/>
        </w:numPr>
        <w:spacing w:after="50"/>
      </w:pPr>
      <w:r>
        <w:rPr>
          <w:rFonts w:ascii="Arial" w:cs="Arial" w:eastAsia="Arial" w:hAnsi="Arial"/>
          <w:sz w:val="18"/>
          <w:szCs w:val="18"/>
        </w:rPr>
        <w:t xml:space="preserve">Başarı ölçütü: her çiftte CCH mesafesinin referans mesafeyle bit düzeyinde aynı olması, çıkarılan yolun yalnız ağda var olan bağlantılardan oluşması ve bu yolun maliyetinin referans mesafeye eşit olması.</w:t>
      </w:r>
    </w:p>
    <w:p>
      <w:pPr>
        <w:pStyle w:val="Heading2"/>
        <w:keepNext/>
        <w:spacing w:after="80" w:before="180"/>
      </w:pPr>
      <w:r>
        <w:rPr>
          <w:rFonts w:ascii="Arial" w:cs="Arial" w:eastAsia="Arial" w:hAnsi="Arial"/>
          <w:b/>
          <w:bCs/>
          <w:i w:val="false"/>
          <w:iCs w:val="false"/>
          <w:color w:val="000000"/>
          <w:sz w:val="21"/>
          <w:szCs w:val="21"/>
        </w:rPr>
        <w:t xml:space="preserve">A.4.2 Sonuç</w:t>
      </w:r>
    </w:p>
    <w:p>
      <w:pPr>
        <w:spacing w:after="90"/>
      </w:pPr>
      <w:r>
        <w:rPr>
          <w:rFonts w:ascii="Arial" w:cs="Arial" w:eastAsia="Arial" w:hAnsi="Arial"/>
          <w:sz w:val="18"/>
          <w:szCs w:val="18"/>
        </w:rPr>
        <w:t xml:space="preserve">Sonuç 40/40'tır. Çiftlerin tamamında mesafe ve yol referans algoritmayla aynıdır; sapma sıfırdır (K1 §3; K2, “Oracle testing” tablosu). İlk çalıştırmada 40 yol sorgusunun 37'sinde ağda bulunmayan bağlantılar üretilmiştir. Hatanın nedeni, geri yönlü aramadan gelen kısayolların ters yönde açılmasıdır. Simetrik ağırlıklı sentetik ızgarada görünmeyen hata tek yönlü sokakları olan Kadıköy ağında ortaya çıkmış, açılım yönü düzeltildikten sonra sonuç 40/40 olmuştur (K2). Yalnız mesafe karşılaştıran bir test bu hatayı yakalayamayacağından başarı ölçütü yol düzeyinde tanımlanmıştır.</w:t>
      </w:r>
    </w:p>
    <w:p>
      <w:pPr>
        <w:keepNext/>
        <w:spacing w:after="60" w:before="140"/>
      </w:pPr>
      <w:r>
        <w:rPr>
          <w:rFonts w:ascii="Arial" w:cs="Arial" w:eastAsia="Arial" w:hAnsi="Arial"/>
          <w:b/>
          <w:bCs/>
          <w:sz w:val="18"/>
          <w:szCs w:val="18"/>
        </w:rPr>
        <w:t xml:space="preserve">Tablo A-3. Rota çekirdeğinin Kadıköy ağındaki hız ölçümleri, Temmuz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56"/>
        <w:gridCol w:w="1783"/>
        <w:gridCol w:w="1783"/>
        <w:gridCol w:w="1784"/>
      </w:tblGrid>
      <w:tr>
        <w:trPr>
          <w:cantSplit/>
          <w:tblHeader/>
        </w:trPr>
        <w:tc>
          <w:tcPr>
            <w:tcW w:type="dxa" w:w="455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Ölçüm</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Dijkstra</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CCH</w:t>
            </w:r>
          </w:p>
        </w:tc>
        <w:tc>
          <w:tcPr>
            <w:tcW w:type="dxa" w:w="178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Oran (Dijkstra/CCH)</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Mesafe sorgusu, çekirdek düzeyi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3,62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0,0205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177</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çıkarımı, çekirdek düzeyi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4,11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0,274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Hizmet katmanı dahil ortalama yanıt, dönüş kısıtsız (40 rastgele çift, ısınmış önbellek, yol çıkarımı dahil)</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1,652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1,887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0,88</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Ağın sıralanması ve daraltılması (ağ başına bir kez)</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30–50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Özelleştirme (her trafik güncellemesinde)</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11–20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r>
      <w:tr>
        <w:trPr>
          <w:cantSplit/>
          <w:tblHeader w:val="off"/>
        </w:trPr>
        <w:tc>
          <w:tcPr>
            <w:tcW w:type="dxa" w:w="455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Sorgu (hiyerarşi evreleri ölçümü)</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0,017 ms</w:t>
            </w:r>
          </w:p>
        </w:tc>
        <w:tc>
          <w:tcPr>
            <w:tcW w:type="dxa" w:w="178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Uygulanmaz</w:t>
            </w:r>
          </w:p>
        </w:tc>
      </w:tr>
    </w:tbl>
    <w:p>
      <w:pPr>
        <w:spacing w:after="60"/>
      </w:pPr>
    </w:p>
    <w:p>
      <w:pPr>
        <w:spacing w:after="100" w:before="40"/>
      </w:pPr>
      <w:r>
        <w:rPr>
          <w:rFonts w:ascii="Arial" w:cs="Arial" w:eastAsia="Arial" w:hAnsi="Arial"/>
          <w:i/>
          <w:iCs/>
          <w:color w:val="595959"/>
          <w:sz w:val="16"/>
          <w:szCs w:val="16"/>
        </w:rPr>
        <w:t xml:space="preserve">Not: Kaynak K1 §3 ve §13; K2. Hizmet katmanının istek başına yaklaşık 1,7–1,8 ms'lik sabit gideri, 3.039 düğümlü ağda çekirdek düzeyindeki kazancı ortadan kaldırmaktadır; 0,88 oranı ölçüm gürültüsü içinde eşitliktir. Teknik raporun performans geçiş ölçütü (T-4) sorgu süresinin %95'lik diliminin 50 ms'yi aşmamasıdır; raporda ölçülen değer 0,26 ms'dir.</w:t>
      </w:r>
    </w:p>
    <w:p>
      <w:pPr>
        <w:pStyle w:val="Heading2"/>
        <w:keepNext/>
        <w:spacing w:after="80" w:before="180"/>
      </w:pPr>
      <w:r>
        <w:rPr>
          <w:rFonts w:ascii="Arial" w:cs="Arial" w:eastAsia="Arial" w:hAnsi="Arial"/>
          <w:b/>
          <w:bCs/>
          <w:i w:val="false"/>
          <w:iCs w:val="false"/>
          <w:color w:val="000000"/>
          <w:sz w:val="21"/>
          <w:szCs w:val="21"/>
        </w:rPr>
        <w:t xml:space="preserve">A.4.3 Sürekli tekrar ve sonraki değişiklik</w:t>
      </w:r>
    </w:p>
    <w:p>
      <w:pPr>
        <w:spacing w:after="90"/>
      </w:pPr>
      <w:r>
        <w:rPr>
          <w:rFonts w:ascii="Arial" w:cs="Arial" w:eastAsia="Arial" w:hAnsi="Arial"/>
          <w:sz w:val="18"/>
          <w:szCs w:val="18"/>
        </w:rPr>
        <w:t xml:space="preserve">Aynı karşılaştırma depodaki birim testlerinde sentetik graflar üzerinde her değişiklikte yinelenmektedir. Bu kapsamda tests/test_cch_native.py dosyası 6×6 ve 12×12 ızgaralarda seçilen düğüm çiftlerinde CCH mesafesini ve yolunu Dijkstra ile, tests/test_edge_expanded.py dosyası genişletilmiş graf aramasını dönüş duyarlı Dijkstra ile, tests/test_expanded_router_cache.py dosyası sürüş modu ağırlıklarında hesaplanan rotayı Dijkstra ile karşılaştırmaktadır. Bu testler sürekli entegrasyonda (CI) çalışmaktadır (.github/workflows/ci.yml); Kadıköy ağındaki 40/40 çalıştırmasının yerine geçmez.</w:t>
      </w:r>
    </w:p>
    <w:p>
      <w:pPr>
        <w:spacing w:after="90"/>
      </w:pPr>
      <w:r>
        <w:rPr>
          <w:rFonts w:ascii="Arial" w:cs="Arial" w:eastAsia="Arial" w:hAnsi="Arial"/>
          <w:sz w:val="18"/>
          <w:szCs w:val="18"/>
        </w:rPr>
        <w:t xml:space="preserve">Hizmet katmanında da aynı denetim yapılmıştır: Rota uç noktasında (/api/route/live) yönlendirici CCH ile Dijkstra arasında değiştirildiğinde HTTP yanıtındaki mesafe, süre, düğüm sayısı ve manevra sayısı üç sürüş modunda aynı kalmıştır. Çalışır durumdaki API'ye karşı yürütülen 15 durumluk sözleşme testi beklenen durum kodlarını vermiştir (K1 §14; K2).</w:t>
      </w:r>
    </w:p>
    <w:p>
      <w:pPr>
        <w:spacing w:after="90"/>
      </w:pPr>
      <w:r>
        <w:rPr>
          <w:rFonts w:ascii="Arial" w:cs="Arial" w:eastAsia="Arial" w:hAnsi="Arial"/>
          <w:sz w:val="18"/>
          <w:szCs w:val="18"/>
        </w:rPr>
        <w:t xml:space="preserve">CCH'nin sıralama ve kurulum yöntemi 26.09.2026'da değiştirilmiştir (commit e7f86d3): Ağ sıralaması iç içe ayrıştırma yöntemine (Linux'ta METIS, diğer ortamlarda InertialFlow), kurulum derlenmiş koda taşınmıştır. Commit iletisine göre yeni yöntem, 52 bin düğümlü bir ilçenin genişletilmiş grafında 300 rastgele çiftte aynı mesafeleri vermiştir; iletide karşılaştırmanın referansı belirtilmemiştir ve ham çıktı depoda bulunmamaktadır. Kadıköy ağındaki 40/40 ve 30/30 karşılaştırmalarının bu değişiklikten sonra yinelendiğine ilişkin kayıt bulunmamaktadır.</w:t>
      </w:r>
    </w:p>
    <w:p>
      <w:pPr>
        <w:pStyle w:val="Heading1"/>
        <w:keepNext/>
        <w:spacing w:after="100" w:before="260"/>
      </w:pPr>
      <w:r>
        <w:rPr>
          <w:rFonts w:ascii="Arial" w:cs="Arial" w:eastAsia="Arial" w:hAnsi="Arial"/>
          <w:b/>
          <w:bCs/>
          <w:i w:val="false"/>
          <w:iCs w:val="false"/>
          <w:color w:val="000000"/>
          <w:sz w:val="26"/>
          <w:szCs w:val="26"/>
        </w:rPr>
        <w:t xml:space="preserve">A.5 Dönüş kısıtlı sürümün doğrulanması (30/30)</w:t>
      </w:r>
    </w:p>
    <w:p>
      <w:pPr>
        <w:pStyle w:val="Heading2"/>
        <w:keepNext/>
        <w:spacing w:after="80" w:before="180"/>
      </w:pPr>
      <w:r>
        <w:rPr>
          <w:rFonts w:ascii="Arial" w:cs="Arial" w:eastAsia="Arial" w:hAnsi="Arial"/>
          <w:b/>
          <w:bCs/>
          <w:i w:val="false"/>
          <w:iCs w:val="false"/>
          <w:color w:val="000000"/>
          <w:sz w:val="21"/>
          <w:szCs w:val="21"/>
        </w:rPr>
        <w:t xml:space="preserve">A.5.1 Yöntem</w:t>
      </w:r>
    </w:p>
    <w:p>
      <w:pPr>
        <w:pStyle w:val="ListParagraph"/>
        <w:numPr>
          <w:ilvl w:val="0"/>
          <w:numId w:val="2"/>
        </w:numPr>
        <w:spacing w:after="50"/>
      </w:pPr>
      <w:r>
        <w:rPr>
          <w:rFonts w:ascii="Arial" w:cs="Arial" w:eastAsia="Arial" w:hAnsi="Arial"/>
          <w:sz w:val="18"/>
          <w:szCs w:val="18"/>
        </w:rPr>
        <w:t xml:space="preserve">Sınanan bileşen: kenar genişletilmiş graf üzerinde çalışan CCH. Bu yapı sunucunun varsayılan yönlendiricisidir (MOTOMAP_ROUTER=expanded).</w:t>
      </w:r>
    </w:p>
    <w:p>
      <w:pPr>
        <w:pStyle w:val="ListParagraph"/>
        <w:numPr>
          <w:ilvl w:val="0"/>
          <w:numId w:val="2"/>
        </w:numPr>
        <w:spacing w:after="50"/>
      </w:pPr>
      <w:r>
        <w:rPr>
          <w:rFonts w:ascii="Arial" w:cs="Arial" w:eastAsia="Arial" w:hAnsi="Arial"/>
          <w:sz w:val="18"/>
          <w:szCs w:val="18"/>
        </w:rPr>
        <w:t xml:space="preserve">Referans algoritma: dönüş duyarlı Dijkstra. Arama durumu, düğüm ile o düğüme gelinen bağlantının oluşturduğu çifttir; her adımda dönüşün kısıt dizininde yasak olup olmadığı sorgulanır (motomap/turn_restrictions.py). Kenar tabanlı arama yayımlanmış bir yöntemdir (K13); dönüş maliyetli CCH, K14'te tanımlanmıştır.</w:t>
      </w:r>
    </w:p>
    <w:p>
      <w:pPr>
        <w:pStyle w:val="ListParagraph"/>
        <w:numPr>
          <w:ilvl w:val="0"/>
          <w:numId w:val="2"/>
        </w:numPr>
        <w:spacing w:after="50"/>
      </w:pPr>
      <w:r>
        <w:rPr>
          <w:rFonts w:ascii="Arial" w:cs="Arial" w:eastAsia="Arial" w:hAnsi="Arial"/>
          <w:sz w:val="18"/>
          <w:szCs w:val="18"/>
        </w:rPr>
        <w:t xml:space="preserve">Veri: Kadıköy. Overpass hizmetinden 82 dönüş kısıtı ilişkisi çekilmiş, bunların 74'ü ayrıştırılmış ve 50'si dizine alınmıştır. Ayrıştırılan kısıtlardan 24'ü, ara düğümü çıkarılan grafta bulunmadığı için dizine girmemiştir. Genişletilmiş graf 6.375 düğüm ve 14.566 arktan oluşmaktadır; 14.606 aday dönüş arkından 40'ı kısıtlar nedeniyle kurulmamıştır. Daraltma sonrası kısayol sayısı 134.746, özelleştirme süresi 43–62 ms'dir (K1 §2, §4 ve §10; K2).</w:t>
      </w:r>
    </w:p>
    <w:p>
      <w:pPr>
        <w:pStyle w:val="ListParagraph"/>
        <w:numPr>
          <w:ilvl w:val="0"/>
          <w:numId w:val="2"/>
        </w:numPr>
        <w:spacing w:after="50"/>
      </w:pPr>
      <w:r>
        <w:rPr>
          <w:rFonts w:ascii="Arial" w:cs="Arial" w:eastAsia="Arial" w:hAnsi="Arial"/>
          <w:sz w:val="18"/>
          <w:szCs w:val="18"/>
        </w:rPr>
        <w:t xml:space="preserve">Sorgular: Kadıköy ağında 30 başlangıç-varış çifti. Teknik rapor, kısıtların rota üzerindeki etkisini aynı ağda 30 rastgele çiftle ölçmüştür (A.6).</w:t>
      </w:r>
    </w:p>
    <w:p>
      <w:pPr>
        <w:pStyle w:val="ListParagraph"/>
        <w:numPr>
          <w:ilvl w:val="0"/>
          <w:numId w:val="2"/>
        </w:numPr>
        <w:spacing w:after="50"/>
      </w:pPr>
      <w:r>
        <w:rPr>
          <w:rFonts w:ascii="Arial" w:cs="Arial" w:eastAsia="Arial" w:hAnsi="Arial"/>
          <w:sz w:val="18"/>
          <w:szCs w:val="18"/>
        </w:rPr>
        <w:t xml:space="preserve">Başarı ölçütü: iki yöntemin döndürdüğü yolun düğüm dizisi olarak aynı olması.</w:t>
      </w:r>
    </w:p>
    <w:p>
      <w:pPr>
        <w:pStyle w:val="Heading2"/>
        <w:keepNext/>
        <w:spacing w:after="80" w:before="180"/>
      </w:pPr>
      <w:r>
        <w:rPr>
          <w:rFonts w:ascii="Arial" w:cs="Arial" w:eastAsia="Arial" w:hAnsi="Arial"/>
          <w:b/>
          <w:bCs/>
          <w:i w:val="false"/>
          <w:iCs w:val="false"/>
          <w:color w:val="000000"/>
          <w:sz w:val="21"/>
          <w:szCs w:val="21"/>
        </w:rPr>
        <w:t xml:space="preserve">A.5.2 Sonuç</w:t>
      </w:r>
    </w:p>
    <w:p>
      <w:pPr>
        <w:spacing w:after="90"/>
      </w:pPr>
      <w:r>
        <w:rPr>
          <w:rFonts w:ascii="Arial" w:cs="Arial" w:eastAsia="Arial" w:hAnsi="Arial"/>
          <w:sz w:val="18"/>
          <w:szCs w:val="18"/>
        </w:rPr>
        <w:t xml:space="preserve">Sonuç 30/30'dur. İki yöntem sorguların tamamında aynı yolu vermiştir (K1 §2; K2). Hizmet katmanı dahil ortalama yanıt süresi dönüş kısıtlı CCH'de 1,997 ms, dönüş duyarlı Dijkstra'da 13,346 ms'dir (6,7 kat); çekirdek düzeyindeki oran 49 kattır (K1 §13; K2).</w:t>
      </w:r>
    </w:p>
    <w:p>
      <w:pPr>
        <w:spacing w:after="90"/>
      </w:pPr>
      <w:r>
        <w:rPr>
          <w:rFonts w:ascii="Arial" w:cs="Arial" w:eastAsia="Arial" w:hAnsi="Arial"/>
          <w:sz w:val="18"/>
          <w:szCs w:val="18"/>
        </w:rPr>
        <w:t xml:space="preserve">İlk doğrulama çalıştırması 25/25 eşleşme bildirmiştir. Ancak Overpass hizmeti HTTP 504 yanıtı döndürdüğü için kısıt dizini boş kalmış ve iki yöntem de kısıtsız hesap yapmıştır. Bu çalıştırma geçersiz sayılmış, ölçüm 50 kısıtın yüklendiği doğrulandıktan sonra yinelenmiştir (K1 §4; K2).</w:t>
      </w:r>
    </w:p>
    <w:p>
      <w:pPr>
        <w:spacing w:after="90"/>
      </w:pPr>
      <w:r>
        <w:rPr>
          <w:rFonts w:ascii="Arial" w:cs="Arial" w:eastAsia="Arial" w:hAnsi="Arial"/>
          <w:sz w:val="18"/>
          <w:szCs w:val="18"/>
        </w:rPr>
        <w:t xml:space="preserve">Teknik raporda, genişletilmiş graftaki her yolun özgün ağda yasak dönüş içermeyen bir yola karşılık geldiği ve sorgunun en düşük maliyetli yasal yolu verdiği ispatlanmıştır (K1 §10; K2). Buna göre genişletilmiş graf üzerinde çalışan arama yöntemi hangisi olursa olsun yasak dönüşü rotaya alamaz; 30/30 sonucu, bu önermenin uygulamadaki karşılığının örneklem üzerinde sınanmasıdır.</w:t>
      </w:r>
    </w:p>
    <w:p>
      <w:pPr>
        <w:spacing w:after="90"/>
      </w:pPr>
      <w:r>
        <w:rPr>
          <w:rFonts w:ascii="Arial" w:cs="Arial" w:eastAsia="Arial" w:hAnsi="Arial"/>
          <w:sz w:val="18"/>
          <w:szCs w:val="18"/>
        </w:rPr>
        <w:t xml:space="preserve">Yapısal dışlama yalnız dizine alınan kısıtlar için geçerlidir. Kadıköy'de çekilen 82 ilişkinin 32'si uygulanmamaktadır: ayrıştırılmayan 8 ilişki (ara üyesi yol olan kısıtlar bu sürümde ayrıştırılmamaktadır) ve ara düğümü grafta bulunmayan 24 kısıt (A.11).</w:t>
      </w:r>
    </w:p>
    <w:p>
      <w:pPr>
        <w:pStyle w:val="Heading1"/>
        <w:keepNext/>
        <w:spacing w:after="100" w:before="260"/>
      </w:pPr>
      <w:r>
        <w:rPr>
          <w:rFonts w:ascii="Arial" w:cs="Arial" w:eastAsia="Arial" w:hAnsi="Arial"/>
          <w:b/>
          <w:bCs/>
          <w:i w:val="false"/>
          <w:iCs w:val="false"/>
          <w:color w:val="000000"/>
          <w:sz w:val="26"/>
          <w:szCs w:val="26"/>
        </w:rPr>
        <w:t xml:space="preserve">A.6 Yasak dönüş örnekleri</w:t>
      </w:r>
    </w:p>
    <w:p>
      <w:pPr>
        <w:spacing w:after="90"/>
      </w:pPr>
      <w:r>
        <w:rPr>
          <w:rFonts w:ascii="Arial" w:cs="Arial" w:eastAsia="Arial" w:hAnsi="Arial"/>
          <w:sz w:val="18"/>
          <w:szCs w:val="18"/>
        </w:rPr>
        <w:t xml:space="preserve">Depoda gerçek kavşak görüntüsü içeren yasak dönüş örneği bulunmamaktadır. Tablo A-4'teki ilk dört örnek birim testlerindeki kavşak modelinden, beşinci örnek Kadıköy ölçümünden alınmıştır. Test kavşağında batıdan doğuya W→C→E yolu, C'den kuzeye C→N kolu ve W→B→N çevre yolu bulunmaktadır; W→C, C→E ve C→N bağlantılarının maliyeti 1, W→B ve B→N bağlantılarının maliyeti 5'tir.</w:t>
      </w:r>
    </w:p>
    <w:p>
      <w:pPr>
        <w:keepNext/>
        <w:spacing w:after="60" w:before="140"/>
      </w:pPr>
      <w:r>
        <w:rPr>
          <w:rFonts w:ascii="Arial" w:cs="Arial" w:eastAsia="Arial" w:hAnsi="Arial"/>
          <w:b/>
          <w:bCs/>
          <w:sz w:val="18"/>
          <w:szCs w:val="18"/>
        </w:rPr>
        <w:t xml:space="preserve">Tablo A-4. Yasak dönüş örnekleri ve doğrulanan davranış</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2476"/>
        <w:gridCol w:w="4160"/>
        <w:gridCol w:w="2775"/>
      </w:tblGrid>
      <w:tr>
        <w:trPr>
          <w:cantSplit/>
          <w:tblHeader/>
        </w:trPr>
        <w:tc>
          <w:tcPr>
            <w:tcW w:type="dxa" w:w="49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247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Kısıt</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Doğrulanan davranış</w:t>
            </w:r>
          </w:p>
        </w:tc>
        <w:tc>
          <w:tcPr>
            <w:tcW w:type="dxa" w:w="27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no_left_turn: W→C bağlantısından C'de C→N bağlantısına dönüş yasak</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Kısıt yokken W'den N'ye rota W→C→N'dir (maliyet 2); kısıt eklenince rota W→B→N olur (maliyet 10). Genişletilmiş grafta yasak dönüş arkı kurulmaz, ark sayısı 3'ten 2'ye iner ve CCH referansla aynı yolu verir.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tests/test_turn_restrictions.py (test_no_turn_changes_the_route); tests/test_edge_expanded.py (test_expanded_enforces_restriction_structurally, test_restriction_removes_arc)</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only_straight_on: W→C bağlantısından C'de yalnız C→E bağlantısına geçiş serbest</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W'den N'ye rota W→B→N olur; W'den E'ye rota W→C→E olarak serbest kalır.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tests/test_turn_restrictions.py (test_only_turn_forbids_others)</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 üyesi yol olan no_u_turn ilişkisi</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Ayrıştırmada atlanır; bu tür kısıt bu sürümde uygulanmaz.</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tests/test_turn_restrictions.py (test_parse_restrictions_extracts_from_via_to)</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 düğümü grafta bulunmayan kısıt</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Dizine alınmaz ve atlanan kısıt olarak sayılır.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tests/test_turn_restrictions.py (test_index_skips_via_not_in_graph)</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247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 ağı, 50 etkin kısıt, 30 rastgele başlangıç-varış çifti</w:t>
            </w:r>
          </w:p>
        </w:tc>
        <w:tc>
          <w:tcPr>
            <w:tcW w:type="dxa" w:w="416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Bir çiftte (%3,3) rota değişmiştir. Kısıtsız hesabın bu çiftteki çözümü yasak bir manevra içermektedir; yasal rotanın maliyeti %32 daha yüksektir.</w:t>
            </w:r>
          </w:p>
        </w:tc>
        <w:tc>
          <w:tcPr>
            <w:tcW w:type="dxa" w:w="27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 “Turn Restrictions” bölümü; K1 §4</w:t>
            </w:r>
          </w:p>
        </w:tc>
      </w:tr>
    </w:tbl>
    <w:p>
      <w:pPr>
        <w:spacing w:after="60"/>
      </w:pPr>
    </w:p>
    <w:p>
      <w:pPr>
        <w:spacing w:after="100" w:before="40"/>
      </w:pPr>
      <w:r>
        <w:rPr>
          <w:rFonts w:ascii="Arial" w:cs="Arial" w:eastAsia="Arial" w:hAnsi="Arial"/>
          <w:i/>
          <w:iCs/>
          <w:color w:val="595959"/>
          <w:sz w:val="16"/>
          <w:szCs w:val="16"/>
        </w:rPr>
        <w:t xml:space="preserve">Not: Birim testleri her gönderimde CI'da çalışmaktadır.</w:t>
      </w:r>
    </w:p>
    <w:p>
      <w:pPr>
        <w:pStyle w:val="Heading1"/>
        <w:keepNext/>
        <w:spacing w:after="100" w:before="260"/>
      </w:pPr>
      <w:r>
        <w:rPr>
          <w:rFonts w:ascii="Arial" w:cs="Arial" w:eastAsia="Arial" w:hAnsi="Arial"/>
          <w:b/>
          <w:bCs/>
          <w:i w:val="false"/>
          <w:iCs w:val="false"/>
          <w:color w:val="000000"/>
          <w:sz w:val="26"/>
          <w:szCs w:val="26"/>
        </w:rPr>
        <w:t xml:space="preserve">A.7 Yük testi yöntemi ve sonuçları</w:t>
      </w:r>
    </w:p>
    <w:p>
      <w:pPr>
        <w:pStyle w:val="Heading2"/>
        <w:keepNext/>
        <w:spacing w:after="80" w:before="180"/>
      </w:pPr>
      <w:r>
        <w:rPr>
          <w:rFonts w:ascii="Arial" w:cs="Arial" w:eastAsia="Arial" w:hAnsi="Arial"/>
          <w:b/>
          <w:bCs/>
          <w:i w:val="false"/>
          <w:iCs w:val="false"/>
          <w:color w:val="000000"/>
          <w:sz w:val="21"/>
          <w:szCs w:val="21"/>
        </w:rPr>
        <w:t xml:space="preserve">A.7.1 Yöntem</w:t>
      </w:r>
    </w:p>
    <w:p>
      <w:pPr>
        <w:spacing w:after="90"/>
      </w:pPr>
      <w:r>
        <w:rPr>
          <w:rFonts w:ascii="Arial" w:cs="Arial" w:eastAsia="Arial" w:hAnsi="Arial"/>
          <w:sz w:val="18"/>
          <w:szCs w:val="18"/>
        </w:rPr>
        <w:t xml:space="preserve">İş planındaki 39 ms ve 2,5 saniye değerleri, 07.09.2026'da canlı hizmetin çalıştığı VPS üzerinde yapılan ölçümden alınmıştır. Ölçüm koşulları f786171 commit iletisinde ve docker-compose.prod.yml dosyasının 60–72. satırlarındaki açıklamada kayıtlıdır (K3).</w:t>
      </w:r>
    </w:p>
    <w:p>
      <w:pPr>
        <w:pStyle w:val="ListParagraph"/>
        <w:numPr>
          <w:ilvl w:val="0"/>
          <w:numId w:val="2"/>
        </w:numPr>
        <w:spacing w:after="50"/>
      </w:pPr>
      <w:r>
        <w:rPr>
          <w:rFonts w:ascii="Arial" w:cs="Arial" w:eastAsia="Arial" w:hAnsi="Arial"/>
          <w:sz w:val="18"/>
          <w:szCs w:val="18"/>
        </w:rPr>
        <w:t xml:space="preserve">Sunucu: iki sanal çekirdekli, 8 GB bellekli VPS; Docker Compose üretim profili (PostgreSQL 16, Redis 7 ve API kapsayıcıları); ana makinede aktarım katmanı güvenliğini (TLS) sağlayan Caddy ters vekil sunucusu.</w:t>
      </w:r>
    </w:p>
    <w:p>
      <w:pPr>
        <w:pStyle w:val="ListParagraph"/>
        <w:numPr>
          <w:ilvl w:val="0"/>
          <w:numId w:val="2"/>
        </w:numPr>
        <w:spacing w:after="50"/>
      </w:pPr>
      <w:r>
        <w:rPr>
          <w:rFonts w:ascii="Arial" w:cs="Arial" w:eastAsia="Arial" w:hAnsi="Arial"/>
          <w:sz w:val="18"/>
          <w:szCs w:val="18"/>
        </w:rPr>
        <w:t xml:space="preserve">Uygulama: Uvicorn ile 1 işçili ve 2 işçili yapılandırmalar; derlenmiş CCH çekirdeği; ısınmış graf (grafın bellekte yüklü ve özelleştirilmiş olduğu durum); bölge Kadıköy.</w:t>
      </w:r>
    </w:p>
    <w:p>
      <w:pPr>
        <w:pStyle w:val="ListParagraph"/>
        <w:numPr>
          <w:ilvl w:val="0"/>
          <w:numId w:val="2"/>
        </w:numPr>
        <w:spacing w:after="50"/>
      </w:pPr>
      <w:r>
        <w:rPr>
          <w:rFonts w:ascii="Arial" w:cs="Arial" w:eastAsia="Arial" w:hAnsi="Arial"/>
          <w:sz w:val="18"/>
          <w:szCs w:val="18"/>
        </w:rPr>
        <w:t xml:space="preserve">Hız sınırlayıcı: kapalı. Varsayılan yapılandırmada IP adresi başına dakikada 60 istek sınırı bulunduğundan (K4), tek kaynaktan eşzamanlı yük bu sınır açıkken üretilememektedir.</w:t>
      </w:r>
    </w:p>
    <w:p>
      <w:pPr>
        <w:pStyle w:val="ListParagraph"/>
        <w:numPr>
          <w:ilvl w:val="0"/>
          <w:numId w:val="2"/>
        </w:numPr>
        <w:spacing w:after="50"/>
      </w:pPr>
      <w:r>
        <w:rPr>
          <w:rFonts w:ascii="Arial" w:cs="Arial" w:eastAsia="Arial" w:hAnsi="Arial"/>
          <w:sz w:val="18"/>
          <w:szCs w:val="18"/>
        </w:rPr>
        <w:t xml:space="preserve">Yük düzeyleri: eşzamanlı 1, 10, 50 ve 100 kullanıcı.</w:t>
      </w:r>
    </w:p>
    <w:p>
      <w:pPr>
        <w:pStyle w:val="ListParagraph"/>
        <w:numPr>
          <w:ilvl w:val="0"/>
          <w:numId w:val="2"/>
        </w:numPr>
        <w:spacing w:after="50"/>
      </w:pPr>
      <w:r>
        <w:rPr>
          <w:rFonts w:ascii="Arial" w:cs="Arial" w:eastAsia="Arial" w:hAnsi="Arial"/>
          <w:sz w:val="18"/>
          <w:szCs w:val="18"/>
        </w:rPr>
        <w:t xml:space="preserve">Kaydedilen ölçütler: medyan yanıt süresi (p50) ve verim (saniyedeki istek sayısı). Yanıt sürelerinin %95'lik ve %99'luk dilimleri (p95, p99) ile hata oranı kaydedilmemiştir.</w:t>
      </w:r>
    </w:p>
    <w:p>
      <w:pPr>
        <w:spacing w:after="90"/>
      </w:pPr>
      <w:r>
        <w:rPr>
          <w:rFonts w:ascii="Arial" w:cs="Arial" w:eastAsia="Arial" w:hAnsi="Arial"/>
          <w:sz w:val="18"/>
          <w:szCs w:val="18"/>
        </w:rPr>
        <w:t xml:space="preserve">Kayıtta bulunmayan bilgiler şunlardır: kullanılan araç, uç nokta ve istek gövdesi, toplam istek sayısı ve ölçüm süresi, yük üreten istemcinin konumu. Depodaki loadtest/ betikleri 04.09.2026 (load_routes.py, features.py, concurrency.py) ve 06.09.2026 (bench_native.py) ölçümlerinde kullanılmış, her isteğin durum kodunu ve süresini dosyaya kaydetmiştir. VPS ölçümünün ham kaydı depoda bulunmamaktadır.</w:t>
      </w:r>
    </w:p>
    <w:p>
      <w:pPr>
        <w:pStyle w:val="Heading2"/>
        <w:keepNext/>
        <w:spacing w:after="80" w:before="180"/>
      </w:pPr>
      <w:r>
        <w:rPr>
          <w:rFonts w:ascii="Arial" w:cs="Arial" w:eastAsia="Arial" w:hAnsi="Arial"/>
          <w:b/>
          <w:bCs/>
          <w:i w:val="false"/>
          <w:iCs w:val="false"/>
          <w:color w:val="000000"/>
          <w:sz w:val="21"/>
          <w:szCs w:val="21"/>
        </w:rPr>
        <w:t xml:space="preserve">A.7.2 Sonuçlar</w:t>
      </w:r>
    </w:p>
    <w:p>
      <w:pPr>
        <w:keepNext/>
        <w:spacing w:after="60" w:before="140"/>
      </w:pPr>
      <w:r>
        <w:rPr>
          <w:rFonts w:ascii="Arial" w:cs="Arial" w:eastAsia="Arial" w:hAnsi="Arial"/>
          <w:b/>
          <w:bCs/>
          <w:sz w:val="18"/>
          <w:szCs w:val="18"/>
        </w:rPr>
        <w:t xml:space="preserve">Tablo A-5. VPS yük ölçümü, Kadıköy, sıcak graf, 07.09.2026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1783"/>
        <w:gridCol w:w="1783"/>
        <w:gridCol w:w="2080"/>
        <w:gridCol w:w="2081"/>
      </w:tblGrid>
      <w:tr>
        <w:trPr>
          <w:cantSplit/>
          <w:tblHeader/>
        </w:trPr>
        <w:tc>
          <w:tcPr>
            <w:tcW w:type="dxa" w:w="217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Eşzamanlı kullanıcı</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p50, 1 işçi</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p50, 2 işçi</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p95 ve p99</w:t>
            </w:r>
          </w:p>
        </w:tc>
        <w:tc>
          <w:tcPr>
            <w:tcW w:type="dxa" w:w="20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Hata oranı</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131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 ms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c>
          <w:tcPr>
            <w:tcW w:type="dxa" w:w="2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698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301 ms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c>
          <w:tcPr>
            <w:tcW w:type="dxa" w:w="2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50</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3.869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1.573 ms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c>
          <w:tcPr>
            <w:tcW w:type="dxa" w:w="2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100</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4.871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2.515 ms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c>
          <w:tcPr>
            <w:tcW w:type="dxa" w:w="2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r>
      <w:tr>
        <w:trPr>
          <w:cantSplit/>
          <w:tblHeader w:val="off"/>
        </w:trPr>
        <w:tc>
          <w:tcPr>
            <w:tcW w:type="dxa" w:w="217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Verim</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12–15 istek/s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24–31 istek/s</w:t>
            </w:r>
          </w:p>
        </w:tc>
        <w:tc>
          <w:tcPr>
            <w:tcW w:type="dxa" w:w="208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c>
          <w:tcPr>
            <w:tcW w:type="dxa" w:w="20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p>
        </w:tc>
      </w:tr>
    </w:tbl>
    <w:p>
      <w:pPr>
        <w:spacing w:after="60"/>
      </w:pPr>
    </w:p>
    <w:p>
      <w:pPr>
        <w:spacing w:after="100" w:before="40"/>
      </w:pPr>
      <w:r>
        <w:rPr>
          <w:rFonts w:ascii="Arial" w:cs="Arial" w:eastAsia="Arial" w:hAnsi="Arial"/>
          <w:i/>
          <w:iCs/>
          <w:color w:val="595959"/>
          <w:sz w:val="16"/>
          <w:szCs w:val="16"/>
        </w:rPr>
        <w:t xml:space="preserve">Not: Kaynak K3. İş planındaki değerler 2 işçi sütunundan alınmıştır; 2.515 ms, 2,5 saniyeye yuvarlanmıştır. İki işçinin toplam bellek kullanımı yaklaşık 450 MB'tır.</w:t>
      </w:r>
    </w:p>
    <w:p>
      <w:pPr>
        <w:spacing w:after="90"/>
      </w:pPr>
      <w:r>
        <w:rPr>
          <w:rFonts w:ascii="Arial" w:cs="Arial" w:eastAsia="Arial" w:hAnsi="Arial"/>
          <w:sz w:val="18"/>
          <w:szCs w:val="18"/>
        </w:rPr>
        <w:t xml:space="preserve">İkinci işçi, iki çekirdekli sunucuda medyan yanıt süresini yük düzeyine göre 1,9–3,4 kat azaltmış ve verimi 12–15 istek/s'den 24–31 istek/s'ye çıkarmıştır. Kayıtta verim tüm yük düzeyleri için tek bir aralıkla verilmiştir; bu durum rota hesabının işlemciye bağlı olduğuna ve artan eşzamanlılığın kuyrukta bekleme olarak yanıt süresine eklendiğine işaret etmektedir. Aynı bulgu 04.09.2026 ölçümünde de kaydedilmiştir (K4). Yüz eşzamanlı kullanıcıdaki 2,5 saniyelik medyan, tek kullanıcıdaki değerin yaklaşık 64 katıdır.</w:t>
      </w:r>
    </w:p>
    <w:p>
      <w:pPr>
        <w:pStyle w:val="Heading2"/>
        <w:keepNext/>
        <w:spacing w:after="80" w:before="180"/>
      </w:pPr>
      <w:r>
        <w:rPr>
          <w:rFonts w:ascii="Arial" w:cs="Arial" w:eastAsia="Arial" w:hAnsi="Arial"/>
          <w:b/>
          <w:bCs/>
          <w:i w:val="false"/>
          <w:iCs w:val="false"/>
          <w:color w:val="000000"/>
          <w:sz w:val="21"/>
          <w:szCs w:val="21"/>
        </w:rPr>
        <w:t xml:space="preserve">A.7.3 Ölçüm geçmişi</w:t>
      </w:r>
    </w:p>
    <w:p>
      <w:pPr>
        <w:spacing w:after="90"/>
      </w:pPr>
      <w:r>
        <w:rPr>
          <w:rFonts w:ascii="Arial" w:cs="Arial" w:eastAsia="Arial" w:hAnsi="Arial"/>
          <w:sz w:val="18"/>
          <w:szCs w:val="18"/>
        </w:rPr>
        <w:t xml:space="preserve">Rota isteklerinin yanıt süresi 07.09.2026'dan önce 21.07.2026, 04.09.2026 ve 06.09.2026'da da ölçülmüştür. Ölçümler farklı makine ve yapılandırmalarda yapıldığından birbirinin yerine geçmez; Tablo A-6, 04.09.2026 ve 06.09.2026 ölçümlerini ve 07.09.2026 sonucundan önce giderilen hataları göstermektedir.</w:t>
      </w:r>
    </w:p>
    <w:p>
      <w:pPr>
        <w:keepNext/>
        <w:spacing w:after="60" w:before="140"/>
      </w:pPr>
      <w:r>
        <w:rPr>
          <w:rFonts w:ascii="Arial" w:cs="Arial" w:eastAsia="Arial" w:hAnsi="Arial"/>
          <w:b/>
          <w:bCs/>
          <w:sz w:val="18"/>
          <w:szCs w:val="18"/>
        </w:rPr>
        <w:t xml:space="preserve">Tablo A-6. Rota isteklerinin ölçüm geçmişi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674"/>
        <w:gridCol w:w="1981"/>
        <w:gridCol w:w="2971"/>
        <w:gridCol w:w="1191"/>
      </w:tblGrid>
      <w:tr>
        <w:trPr>
          <w:cantSplit/>
          <w:tblHeader/>
        </w:trPr>
        <w:tc>
          <w:tcPr>
            <w:tcW w:type="dxa" w:w="1089"/>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w:t>
            </w:r>
          </w:p>
        </w:tc>
        <w:tc>
          <w:tcPr>
            <w:tcW w:type="dxa" w:w="2674"/>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Ortam ve yapılandırma</w:t>
            </w:r>
          </w:p>
        </w:tc>
        <w:tc>
          <w:tcPr>
            <w:tcW w:type="dxa" w:w="198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Yük</w:t>
            </w:r>
          </w:p>
        </w:tc>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Sonuç</w:t>
            </w:r>
          </w:p>
        </w:tc>
        <w:tc>
          <w:tcPr>
            <w:tcW w:type="dxa" w:w="119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04.09.2026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Windows 11 dizüstü bilgisayar, 16 mantıksal çekirdek (istemci, API ve veritabanı aynı makinede); 1 işçi; CCH çekirdeği derlenmemiş; hız sınırlayıcı kapalı; Kadıköy</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 /api/route/live; 10, 50 ve 100 eşzamanlı istek; her istek üç sürüş modunu hesaplar</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Sunulan rotalarda p50 4,9 s, 30,2 s ve 48,1 s; 100 eşzamanlıda p95 69,1 s. Bu düzeyde 109 denemenin 94'ü sunulmuş, 4'ü yola uzak nokta nedeniyle doğru biçimde reddedilmiş (HTTP 422), 9'u HTTP 500 ve 2'si istemci zaman aşımıyla sonuçlanmıştır (hata oranı %10,1).</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06.09.2026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Windows dizüstü bilgisayarda Docker; 1 işçi; derlenmiş çekirdek; varsayılan hız sınırları; kimlik doğrulamasız istek</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POST /api/route/live; tek istemci, 3 ısınma ve 10 ardışık ölçüm; sabit Kadıköy çifti, standart mod, 250 cm³</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p50 28,6 ms, p95 38,8 ms, 34,8 istek/s; 10/10 başarılı. Sonraki yapı önbelleği değişikliğiyle p50 35,7 ms, p95 53,5 ms</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r>
      <w:tr>
        <w:trPr>
          <w:cantSplit/>
          <w:tblHeader w:val="off"/>
        </w:trPr>
        <w:tc>
          <w:tcPr>
            <w:tcW w:type="dxa" w:w="1089"/>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07.09.2026</w:t>
            </w:r>
          </w:p>
        </w:tc>
        <w:tc>
          <w:tcPr>
            <w:tcW w:type="dxa" w:w="2674"/>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VPS (A.7.1)</w:t>
            </w:r>
          </w:p>
        </w:tc>
        <w:tc>
          <w:tcPr>
            <w:tcW w:type="dxa" w:w="198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Eşzamanlı 1, 10, 50 ve 100 kullanıcı</w:t>
            </w:r>
          </w:p>
        </w:tc>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Tablo A-5</w:t>
            </w:r>
          </w:p>
        </w:tc>
        <w:tc>
          <w:tcPr>
            <w:tcW w:type="dxa" w:w="119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r>
    </w:tbl>
    <w:p>
      <w:pPr>
        <w:spacing w:after="60"/>
      </w:pPr>
    </w:p>
    <w:p>
      <w:pPr>
        <w:spacing w:after="100" w:before="40"/>
      </w:pPr>
      <w:r>
        <w:rPr>
          <w:rFonts w:ascii="Arial" w:cs="Arial" w:eastAsia="Arial" w:hAnsi="Arial"/>
          <w:i/>
          <w:iCs/>
          <w:color w:val="595959"/>
          <w:sz w:val="16"/>
          <w:szCs w:val="16"/>
        </w:rPr>
        <w:t xml:space="preserve">Not: Tablodaki 04.09.2026 deneme sayısına, Silver kullanıcıların Gold moduna erişim isteklerine verilen 91 HTTP 402 yanıtı dahil edilmemiştir; 10 ve 50 eşzamanlı düzeyde HTTP 500 yanıtı alınmamıştır. Bu ölçümün bulguları ana dala 06–07.09.2026'da alınan değişikliklerle giderilmiştir: derlenmiş çekirdek zorunlu hâle getirilmiş (378f8c4), graf özeti istek başına bir kez hesaplanmış (15a7334), trafik verisinin yenilenmesi istek yolundan çıkarılmış (613eb53) ve rota hesabı sırasında veritabanı bağlantısının tutulması kaldırılmıştır (e04cca5). İlk yük raporu (21.07.2026; Docker, 4 işçi, 61.483 düğümlü 11 bölge) 12 eşzamanlı istekte p50 31 s ve p95 76 s ölçmüştür; aynı raporda 18 uç noktanın 17'si %100 başarıyla yanıt vermiştir (K6). Bu yapılandırma bugünkü kurulumla karşılaştırılabilir değildir.</w:t>
      </w:r>
    </w:p>
    <w:p>
      <w:pPr>
        <w:pStyle w:val="Heading1"/>
        <w:keepNext/>
        <w:spacing w:after="100" w:before="260"/>
      </w:pPr>
      <w:r>
        <w:rPr>
          <w:rFonts w:ascii="Arial" w:cs="Arial" w:eastAsia="Arial" w:hAnsi="Arial"/>
          <w:b/>
          <w:bCs/>
          <w:i w:val="false"/>
          <w:iCs w:val="false"/>
          <w:color w:val="000000"/>
          <w:sz w:val="26"/>
          <w:szCs w:val="26"/>
        </w:rPr>
        <w:t xml:space="preserve">A.8 Kanıt dosyaları dizini</w:t>
      </w:r>
    </w:p>
    <w:p>
      <w:pPr>
        <w:spacing w:after="90"/>
      </w:pPr>
      <w:r>
        <w:rPr>
          <w:rFonts w:ascii="Arial" w:cs="Arial" w:eastAsia="Arial" w:hAnsi="Arial"/>
          <w:sz w:val="18"/>
          <w:szCs w:val="18"/>
        </w:rPr>
        <w:t xml:space="preserve">Tablo A-7, bu ekteki sonuçların birincil kayıtlarını listelemektedir. Yollar, aksi belirtilmedikçe motomap-engine deposunun köküne göredir; PRODİS'e eklenecek dosyalar bu listeden seçilecektir.</w:t>
      </w:r>
    </w:p>
    <w:p>
      <w:pPr>
        <w:keepNext/>
        <w:spacing w:after="60" w:before="140"/>
      </w:pPr>
      <w:r>
        <w:rPr>
          <w:rFonts w:ascii="Arial" w:cs="Arial" w:eastAsia="Arial" w:hAnsi="Arial"/>
          <w:b/>
          <w:bCs/>
          <w:sz w:val="18"/>
          <w:szCs w:val="18"/>
        </w:rPr>
        <w:t xml:space="preserve">Tablo A-7. Kanıt dosyaları</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
        <w:gridCol w:w="3962"/>
        <w:gridCol w:w="3962"/>
        <w:gridCol w:w="1487"/>
      </w:tblGrid>
      <w:tr>
        <w:trPr>
          <w:cantSplit/>
          <w:tblHeader/>
        </w:trPr>
        <w:tc>
          <w:tcPr>
            <w:tcW w:type="dxa" w:w="49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No</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Dosya ya da kayıt</w:t>
            </w:r>
          </w:p>
        </w:tc>
        <w:tc>
          <w:tcPr>
            <w:tcW w:type="dxa" w:w="3962"/>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İçerik</w:t>
            </w:r>
          </w:p>
        </w:tc>
        <w:tc>
          <w:tcPr>
            <w:tcW w:type="dxa" w:w="148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Durum</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docs/release-notes/v0.7.1.md</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40/40 (§3), 30/30 ve genişletilmiş graf ölçüleri (§2), Kadıköy dönüş kısıtları (§4), ispatlar (§10), hız ölçümleri (§13), doğrulama tablosu (§14)</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docs/report/motomap-technical-report.pdf (120 sayfa); aynı içerik.md ve.tex biçiminde</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Referans algoritma karşılaştırma tablosu, yol açılımı hatası, dönüş kısıtı etkisi, T-1 ile T-9 arası geçiş ölçütleri</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tests/test_cch_native.py, tests/test_edge_expanded.py, tests/test_turn_restrictions.py, tests/test_expanded_router_cache.py, tests/test_delivery.py</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Sentetik graflarda referans algoritma karşılaştırmaları, yasak dönüş örnekleri, kurye sırası kesinlik testi</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 CI'da çalışır</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.github/workflows/ci.yml</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Çekirdeğin derlenip doğrulanması ve test paketinin çalıştırılması</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5</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f786171 commit iletisi (ana dalda 7640bf6) ve docker-compose.prod.yml, satır 60–72</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07.09.2026 VPS yük ölçümü</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 ham kayıt yok</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6</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loadtest/RESULTS-2026-09-04.md; loadtest/evidence/2026-09-04/ (routes_10.jsonl, routes_50.jsonl, routes_100.jsonl, probe_c10.json, probe_c50.json, probe_c100.json, features_10.jsonl, features_100.jsonl, concurrency_100.jsonl, docker_routes_10.jsonl, seed.jsonl, summary.json)</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04.09.2026 ölçümü; her isteğin durum kodu ve süresi</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7</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loadtest/RESULTS-2026-09-06-native.md; loadtest/evidence/2026-09-06-native/ (before.json, after.json, after2.json, after3_token.json, after4_background_traffic.json, after5_structure_cache.json)</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06.09.2026 ardışık ölçümleri; her isteğin süresi</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loadtest/RESULTS.md; loadtest/evidence/ozet.json, loadtest/evidence/docker_stats.txt</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21.07.2026 yük ve işlev testi raporu</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 raporun listelediği faz kayıtları, API günlüğü ve 57 ekran görüntüsü depoda yok</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9</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loadtest/ altındaki bench_native.py, common.py, load_routes.py, concurrency.py, features.py, seed_users.py, warm_api.py, warm_graphs.py, report.py</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Yük testi betikleri</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10</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docs/report/figures/ altındaki s08-route-viraj.png, s09-route-standart.png, s10-route-guvenli.png, s11-navigation.png, t02-sea-error.png</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Uygulama ekran görüntüleri: üç sürüş modunda rota seçimi, navigasyon, yola uzak hedef için HTTP 422 uyarısı</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11</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docs/reference/h2-accuracy-protocol.md</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Doğruluk protokolü, 1. sürüm (10.08.2026)</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12</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docs/graphhopper.md; motomap-website deposunda design-brief.md, satır 285–305</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Ülke grafı ve İstanbul ölçeğindeki bellek ölçümü (25.09.2026); İstanbul geneli temel ağın kurulumu ve 15 koridorluk iç tanı taraması (01.09.2026)</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Depoda</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13</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motomap-deploy aracının dağıtım günlüğü (deploy.log)</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API'nin 07.09.2026'da yayına alınması ve sonraki dağıtımlar</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Depo dışında (yerel kayıt)</w:t>
            </w:r>
          </w:p>
        </w:tc>
      </w:tr>
      <w:tr>
        <w:trPr>
          <w:cantSplit/>
          <w:tblHeader w:val="off"/>
        </w:trPr>
        <w:tc>
          <w:tcPr>
            <w:tcW w:type="dxa" w:w="49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14</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Eksik kayıtlar</w:t>
            </w:r>
          </w:p>
        </w:tc>
        <w:tc>
          <w:tcPr>
            <w:tcW w:type="dxa" w:w="3962"/>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40/40 ve 30/30 çalıştırma çıktıları ve çift listeleri; 07.09.2026 ham yük kaydı; gerçek ağdan yasak dönüş ekran görüntüleri; canlı sürümün commit karması]</w:t>
            </w:r>
          </w:p>
        </w:tc>
        <w:tc>
          <w:tcPr>
            <w:tcW w:type="dxa" w:w="148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Bulunamadı</w:t>
            </w:r>
          </w:p>
        </w:tc>
      </w:tr>
    </w:tbl>
    <w:p>
      <w:pPr>
        <w:spacing w:after="60"/>
      </w:pPr>
    </w:p>
    <w:p>
      <w:pPr>
        <w:pStyle w:val="Heading1"/>
        <w:keepNext/>
        <w:spacing w:after="100" w:before="260"/>
      </w:pPr>
      <w:r>
        <w:rPr>
          <w:rFonts w:ascii="Arial" w:cs="Arial" w:eastAsia="Arial" w:hAnsi="Arial"/>
          <w:b/>
          <w:bCs/>
          <w:i w:val="false"/>
          <w:iCs w:val="false"/>
          <w:color w:val="000000"/>
          <w:sz w:val="26"/>
          <w:szCs w:val="26"/>
        </w:rPr>
        <w:t xml:space="preserve">A.9 Saha doğrulama protokolünün özeti</w:t>
      </w:r>
    </w:p>
    <w:p>
      <w:pPr>
        <w:spacing w:after="90"/>
      </w:pPr>
      <w:r>
        <w:rPr>
          <w:rFonts w:ascii="Arial" w:cs="Arial" w:eastAsia="Arial" w:hAnsi="Arial"/>
          <w:sz w:val="18"/>
          <w:szCs w:val="18"/>
        </w:rPr>
        <w:t xml:space="preserve">Saha ETA doğruluğu, bu ekteki testlerden ayrı bir çalışmayla ölçülecektir. Çerçevenin çekirdeği protokolün 10.08.2026 tarihli 1. sürümüdür (K7). Tabakalar, ek dahil etme kuralları ve kalibrasyon ile kabul verisinin ayrılığı 2. sürümde akademik danışmanla birlikte ön kayıttan önce kesinleştirilecektir. Eşikler ve takvim iş planının 2.1, 2.2 ve 4.3 alanlarıyla aynıdır; Teknoloji Hazırlık Seviyesi (THS) eşleşmesi 4.3'ten alınmıştır.</w:t>
      </w:r>
    </w:p>
    <w:p>
      <w:pPr>
        <w:pStyle w:val="Heading2"/>
        <w:keepNext/>
        <w:spacing w:after="80" w:before="180"/>
      </w:pPr>
      <w:r>
        <w:rPr>
          <w:rFonts w:ascii="Arial" w:cs="Arial" w:eastAsia="Arial" w:hAnsi="Arial"/>
          <w:b/>
          <w:bCs/>
          <w:i w:val="false"/>
          <w:iCs w:val="false"/>
          <w:color w:val="000000"/>
          <w:sz w:val="21"/>
          <w:szCs w:val="21"/>
        </w:rPr>
        <w:t xml:space="preserve">A.9.1 Ölçüm birimi, referans ve ölçütler</w:t>
      </w:r>
    </w:p>
    <w:p>
      <w:pPr>
        <w:pStyle w:val="ListParagraph"/>
        <w:numPr>
          <w:ilvl w:val="0"/>
          <w:numId w:val="2"/>
        </w:numPr>
        <w:spacing w:after="50"/>
      </w:pPr>
      <w:r>
        <w:rPr>
          <w:rFonts w:ascii="Arial" w:cs="Arial" w:eastAsia="Arial" w:hAnsi="Arial"/>
          <w:sz w:val="18"/>
          <w:szCs w:val="18"/>
        </w:rPr>
        <w:t xml:space="preserve">Ölçüm birimi tek sürüştür. Tahmin, kalkışta sürücüye gösterilen varış süresidir; gerçek süre, sürüş kaydının ilk ve son noktası arasında geçen süredir. Gerçek süre MotoMap'in kendi GNSS (uydu konum) kayıtlarından alınır (iş planı 1.7).</w:t>
      </w:r>
    </w:p>
    <w:p>
      <w:pPr>
        <w:pStyle w:val="ListParagraph"/>
        <w:numPr>
          <w:ilvl w:val="0"/>
          <w:numId w:val="2"/>
        </w:numPr>
        <w:spacing w:after="50"/>
      </w:pPr>
      <w:r>
        <w:rPr>
          <w:rFonts w:ascii="Arial" w:cs="Arial" w:eastAsia="Arial" w:hAnsi="Arial"/>
          <w:sz w:val="18"/>
          <w:szCs w:val="18"/>
        </w:rPr>
        <w:t xml:space="preserve">Hata, gerçek süre eksi tahmindir; mutlak yüzde hata, hatanın mutlak değerinin gerçek süreye oranıdır. Birincil ölçüt ortalama mutlak yüzde hatadır (MAPE). Medyan, simetrik ve süre ağırlıklı yüzde hata, işaretli yanlılık (saniye) ve kök ortalama kare hata birlikte raporlanır (K7).</w:t>
      </w:r>
    </w:p>
    <w:p>
      <w:pPr>
        <w:pStyle w:val="ListParagraph"/>
        <w:numPr>
          <w:ilvl w:val="0"/>
          <w:numId w:val="2"/>
        </w:numPr>
        <w:spacing w:after="50"/>
      </w:pPr>
      <w:r>
        <w:rPr>
          <w:rFonts w:ascii="Arial" w:cs="Arial" w:eastAsia="Arial" w:hAnsi="Arial"/>
          <w:sz w:val="18"/>
          <w:szCs w:val="18"/>
        </w:rPr>
        <w:t xml:space="preserve">Her sürüşte kalkış anında iki tahmin kaydedilir: MotoMap'in motosiklet ETA'sı ve motosiklet hız farkı uygulanmamış aynı trafik katmanından üretilen referans otomobil ETA'sı. İki tahminin hataları aynı sürüşler üzerinde eşleştirilmiş olarak karşılaştırılır ve motosiklet modelinin sağladığı hata azalması da raporlanır (iş planı 2.2).</w:t>
      </w:r>
    </w:p>
    <w:p>
      <w:pPr>
        <w:pStyle w:val="ListParagraph"/>
        <w:numPr>
          <w:ilvl w:val="0"/>
          <w:numId w:val="2"/>
        </w:numPr>
        <w:spacing w:after="50"/>
      </w:pPr>
      <w:r>
        <w:rPr>
          <w:rFonts w:ascii="Arial" w:cs="Arial" w:eastAsia="Arial" w:hAnsi="Arial"/>
          <w:sz w:val="18"/>
          <w:szCs w:val="18"/>
        </w:rPr>
        <w:t xml:space="preserve">Güven aralıkları sabit tohumlu (20260810) önyükleme yöntemiyle hesaplanır: yüzdelik ya da yanlılığı düzeltilmiş ve hızlandırılmış (BCa) aralık, 5.000 yeniden örnekleme. Sürüş sayısı 20'nin altındaki bir sonuç “ölçüldü” olarak yayımlanmaz (K7).</w:t>
      </w:r>
    </w:p>
    <w:p>
      <w:pPr>
        <w:pStyle w:val="Heading2"/>
        <w:keepNext/>
        <w:spacing w:after="80" w:before="180"/>
      </w:pPr>
      <w:r>
        <w:rPr>
          <w:rFonts w:ascii="Arial" w:cs="Arial" w:eastAsia="Arial" w:hAnsi="Arial"/>
          <w:b/>
          <w:bCs/>
          <w:i w:val="false"/>
          <w:iCs w:val="false"/>
          <w:color w:val="000000"/>
          <w:sz w:val="21"/>
          <w:szCs w:val="21"/>
        </w:rPr>
        <w:t xml:space="preserve">A.9.2 Kabul eşikleri</w:t>
      </w:r>
    </w:p>
    <w:p>
      <w:pPr>
        <w:keepNext/>
        <w:spacing w:after="60" w:before="140"/>
      </w:pPr>
      <w:r>
        <w:rPr>
          <w:rFonts w:ascii="Arial" w:cs="Arial" w:eastAsia="Arial" w:hAnsi="Arial"/>
          <w:b/>
          <w:bCs/>
          <w:sz w:val="18"/>
          <w:szCs w:val="18"/>
        </w:rPr>
        <w:t xml:space="preserve">Tablo A-8. Saha doğrulama takvimi ve başarı ölçütleri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8"/>
        <w:gridCol w:w="3268"/>
        <w:gridCol w:w="3270"/>
      </w:tblGrid>
      <w:tr>
        <w:trPr>
          <w:cantSplit/>
          <w:tblHeader/>
        </w:trPr>
        <w:tc>
          <w:tcPr>
            <w:tcW w:type="dxa" w:w="33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Tarih ve kapı</w:t>
            </w:r>
          </w:p>
        </w:tc>
        <w:tc>
          <w:tcPr>
            <w:tcW w:type="dxa" w:w="3268"/>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Veri</w:t>
            </w:r>
          </w:p>
        </w:tc>
        <w:tc>
          <w:tcPr>
            <w:tcW w:type="dxa" w:w="327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Başarı ölçütü</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2027 (Ay 6); Kapı-1; Doğruluk Raporu 1; THS 6</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İstanbul'da en az 300 geçerli sürüş</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MAPE ≤%25; yazılı devam ya da iyileştirme kararı</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Eylül 2027 (Ay 9); İstanbul saha kalibrasyonu</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200 rota</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 yasak yol ya da dönüş ihlali; saha hataları ve ETA sapmaları raporlanır</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Aralık 2027 (Ay 12); Kapı-2; Doğruluk Raporu 2; THS 7</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360 geçerli sürüş</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MAPE ≤%18</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Mart 2028 (Ay 15); İzmir ve Antalya saha doğrulaması</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Her iki ilde bölgesel ETA verisi</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Farklı yol ve trafik koşullarındaki model performansı raporlanır</w:t>
            </w:r>
          </w:p>
        </w:tc>
      </w:tr>
      <w:tr>
        <w:trPr>
          <w:cantSplit/>
          <w:tblHeader w:val="off"/>
        </w:trPr>
        <w:tc>
          <w:tcPr>
            <w:tcW w:type="dxa" w:w="33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Haziran 2028 (Ay 18); Kapı-3; THS 8</w:t>
            </w:r>
          </w:p>
        </w:tc>
        <w:tc>
          <w:tcPr>
            <w:tcW w:type="dxa" w:w="3268"/>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İzmir ve Antalya'da toplam 1.000 geçerli sürüş</w:t>
            </w:r>
          </w:p>
        </w:tc>
        <w:tc>
          <w:tcPr>
            <w:tcW w:type="dxa" w:w="327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MAPE ≤%15</w:t>
            </w:r>
          </w:p>
        </w:tc>
      </w:tr>
    </w:tbl>
    <w:p>
      <w:pPr>
        <w:spacing w:after="60"/>
      </w:pPr>
    </w:p>
    <w:p>
      <w:pPr>
        <w:spacing w:after="100" w:before="40"/>
      </w:pPr>
      <w:r>
        <w:rPr>
          <w:rFonts w:ascii="Arial" w:cs="Arial" w:eastAsia="Arial" w:hAnsi="Arial"/>
          <w:i/>
          <w:iCs/>
          <w:color w:val="595959"/>
          <w:sz w:val="16"/>
          <w:szCs w:val="16"/>
        </w:rPr>
        <w:t xml:space="preserve">Not: Kaynak iş planı 2.1, 2.2 ve 4.3 (K15). İzmir ve Antalya'da hizmet Mart 2028'de başlayacağından (iş planı 1.6) Ay 6 ve Ay 12 ölçümleri İstanbul sürüşlerinden oluşur. Yasallık denetiminde 200 rota koridor tipi ve motor sınıfına göre tabakalı seçilecek, her manevra OSM kısıtları, açık lisanslı sokak görüntüsü ve gerektiğinde saha kontrolüyle karşılaştırılacaktır. Yasak dönüş, ters yön, motosiklete kapalı yol ve mopedin otoyola yönlendirilmesi ihlal sayılır.</w:t>
      </w:r>
    </w:p>
    <w:p>
      <w:pPr>
        <w:pStyle w:val="Heading2"/>
        <w:keepNext/>
        <w:spacing w:after="80" w:before="180"/>
      </w:pPr>
      <w:r>
        <w:rPr>
          <w:rFonts w:ascii="Arial" w:cs="Arial" w:eastAsia="Arial" w:hAnsi="Arial"/>
          <w:b/>
          <w:bCs/>
          <w:i w:val="false"/>
          <w:iCs w:val="false"/>
          <w:color w:val="000000"/>
          <w:sz w:val="21"/>
          <w:szCs w:val="21"/>
        </w:rPr>
        <w:t xml:space="preserve">A.9.3 Dahil etme kuralları</w:t>
      </w:r>
    </w:p>
    <w:p>
      <w:pPr>
        <w:spacing w:after="90"/>
      </w:pPr>
      <w:r>
        <w:rPr>
          <w:rFonts w:ascii="Arial" w:cs="Arial" w:eastAsia="Arial" w:hAnsi="Arial"/>
          <w:sz w:val="18"/>
          <w:szCs w:val="18"/>
        </w:rPr>
        <w:t xml:space="preserve">Sürüşlerin ayıklanması kodla yapılır (motomap/validation/rides.py); ayıklanan her sürüş nedeniyle birlikte raporlanır ve silinmez. Protokolün 1. sürümüne göre beşten az noktalı kayıt, sıfır süreli kayıt, sinyal kesintisinin süresi ölçülemeyen kayıt, tahmini bulunmayan kayıt, tahmin ile kalkış arasında bir trafik güncelleme süresinden (180 saniye) fazla zaman geçmiş kayıt ve sürüşten sonra damgalanmış tahmin geçersizdir (K7). İkinci sürüm için önerilen ek kurallar şunlardır: varış noktasının 150 m yakınında bitmeyen sürüşün geçersiz sayılması, sürülen yolun %80'inden azı önerilen rota üzerindeyse sürüşün ayrı raporlanması, en az 5 dakika ve 1,5 km yolculuk koşulu ve nokta yatay doğruluğu medyanının en fazla 20 m olması.</w:t>
      </w:r>
    </w:p>
    <w:p>
      <w:pPr>
        <w:pStyle w:val="Heading2"/>
        <w:keepNext/>
        <w:spacing w:after="80" w:before="180"/>
      </w:pPr>
      <w:r>
        <w:rPr>
          <w:rFonts w:ascii="Arial" w:cs="Arial" w:eastAsia="Arial" w:hAnsi="Arial"/>
          <w:b/>
          <w:bCs/>
          <w:i w:val="false"/>
          <w:iCs w:val="false"/>
          <w:color w:val="000000"/>
          <w:sz w:val="21"/>
          <w:szCs w:val="21"/>
        </w:rPr>
        <w:t xml:space="preserve">A.9.4 Tabakalar</w:t>
      </w:r>
    </w:p>
    <w:p>
      <w:pPr>
        <w:spacing w:after="90"/>
      </w:pPr>
      <w:r>
        <w:rPr>
          <w:rFonts w:ascii="Arial" w:cs="Arial" w:eastAsia="Arial" w:hAnsi="Arial"/>
          <w:sz w:val="18"/>
          <w:szCs w:val="18"/>
        </w:rPr>
        <w:t xml:space="preserve">Birincil hücreler il grubu (İstanbul; İzmir ve Antalya), sıkışıklık düzeyi (serbest, orta, yoğun) ve yoğun ya da sakin saatin birleşimiyle oluşan 12 hücredir. Sıkışıklık düzeyi kalkış anındaki trafik okumasıyla belirlenir: serbest düzeyde ölçülen hız serbest akış hızının en az %80'i, orta düzeyde %50–80'i, yoğun düzeyde %50'sinin altındadır. Yoğun saat, hafta içi 07.00–10.00 ve 16.00–20.00 aralıklarıdır. Motor sınıfı, hava, mevsim, koridor tipi, sürücü tipi ve yolculuk uzunluğu ikincil etken olarak raporlanır.</w:t>
      </w:r>
    </w:p>
    <w:p>
      <w:pPr>
        <w:pStyle w:val="Heading2"/>
        <w:keepNext/>
        <w:spacing w:after="80" w:before="180"/>
      </w:pPr>
      <w:r>
        <w:rPr>
          <w:rFonts w:ascii="Arial" w:cs="Arial" w:eastAsia="Arial" w:hAnsi="Arial"/>
          <w:b/>
          <w:bCs/>
          <w:i w:val="false"/>
          <w:iCs w:val="false"/>
          <w:color w:val="000000"/>
          <w:sz w:val="21"/>
          <w:szCs w:val="21"/>
        </w:rPr>
        <w:t xml:space="preserve">A.9.5 Kalibrasyon ve kabul verisinin ayrılığı</w:t>
      </w:r>
    </w:p>
    <w:p>
      <w:pPr>
        <w:spacing w:after="90"/>
      </w:pPr>
      <w:r>
        <w:rPr>
          <w:rFonts w:ascii="Arial" w:cs="Arial" w:eastAsia="Arial" w:hAnsi="Arial"/>
          <w:sz w:val="18"/>
          <w:szCs w:val="18"/>
        </w:rPr>
        <w:t xml:space="preserve">Takvimin son dörtte biri ve bir ilçe kalibrasyona alınmaz; kapı kararları bu ayrılmış veriyle verilir. Kalibrasyon ilçe ya da koridor bloklarıyla ayırma, zamansal ileri doğrulama ve sürücü gruplu ayırmayla sınanır. İstanbul'da kalibre edilen model İzmir ve Antalya'da önce yeniden kalibre edilmeden sınanır. Her kapı raporu protokol sürümünü, girdi dosyasının SHA-256 özetini, ayıklama dökümünü ve hücre tablosunu içerir; olumsuz sonuç da raporlanır. Etik kurul onayı gerekiyorsa onay alınmadan araştırma amaçlı sürüş verisi toplanmaz (iş planı 2.7). Protokolün 2. sürümü ve analiz planı ilk araştırma sürüşünden önce zaman damgalı kayda alınacaktır.</w:t>
      </w:r>
    </w:p>
    <w:p>
      <w:pPr>
        <w:pStyle w:val="Heading1"/>
        <w:keepNext/>
        <w:spacing w:after="100" w:before="260"/>
      </w:pPr>
      <w:r>
        <w:rPr>
          <w:rFonts w:ascii="Arial" w:cs="Arial" w:eastAsia="Arial" w:hAnsi="Arial"/>
          <w:b/>
          <w:bCs/>
          <w:i w:val="false"/>
          <w:iCs w:val="false"/>
          <w:color w:val="000000"/>
          <w:sz w:val="26"/>
          <w:szCs w:val="26"/>
        </w:rPr>
        <w:t xml:space="preserve">A.10 Kanıt durumu</w:t>
      </w:r>
    </w:p>
    <w:p>
      <w:pPr>
        <w:keepNext/>
        <w:spacing w:after="60" w:before="140"/>
      </w:pPr>
      <w:r>
        <w:rPr>
          <w:rFonts w:ascii="Arial" w:cs="Arial" w:eastAsia="Arial" w:hAnsi="Arial"/>
          <w:b/>
          <w:bCs/>
          <w:sz w:val="18"/>
          <w:szCs w:val="18"/>
        </w:rPr>
        <w:t xml:space="preserve">Tablo A-9. İş planında Ek-A'ya dayanan iddiaların kanıt durumu</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1"/>
        <w:gridCol w:w="2575"/>
        <w:gridCol w:w="1783"/>
        <w:gridCol w:w="2577"/>
      </w:tblGrid>
      <w:tr>
        <w:trPr>
          <w:cantSplit/>
          <w:tblHeader/>
        </w:trPr>
        <w:tc>
          <w:tcPr>
            <w:tcW w:type="dxa" w:w="2971"/>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İddia (iş planı alanı)</w:t>
            </w:r>
          </w:p>
        </w:tc>
        <w:tc>
          <w:tcPr>
            <w:tcW w:type="dxa" w:w="2575"/>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Değer</w:t>
            </w:r>
          </w:p>
        </w:tc>
        <w:tc>
          <w:tcPr>
            <w:tcW w:type="dxa" w:w="1783"/>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Statü</w:t>
            </w:r>
          </w:p>
        </w:tc>
        <w:tc>
          <w:tcPr>
            <w:tcW w:type="dxa" w:w="2577"/>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Dayanak</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çekirdeği referans algoritmayla aynı sonucu vermiştir (1.1, 2.1, 2.2, 3.1)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40/40, sapma sıfır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(Temmuz 2026, v0.7.1, Kadıköy)</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A.4; K1, K2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Dönüş kısıtlı sürüm aynı sonucu vermiştir (1.1, 2.1, 2.2, 3.1)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30/30</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(Temmuz 2026, Kadıköy, 50 etkin kısıt)</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A.5; K1, K2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Yol ağı, yasak dönüşleri yapısal olarak dışlayan hiyerarşiye dönüştürülür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Dizine alınan 50 kısıt için yapısal; çekilen 82 ilişkinin 32'si uygulanmıyor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(kapsam sınırlı)</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A.5, A.6</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Tek kullanıcıda medyan yanıt süresi (1.1, 2.2)</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39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(07.09.2026, VPS, 2 işçi, sıcak graf)</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A.7; K3</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Yüz eşzamanlı kullanıcıda medyan yanıt süresi (1.1, 2.2)</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2,5 s (2.515 ms)</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(07.09.2026, VPS, 2 işçi, sıcak graf)</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A.7; K3</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Aynı ölçümde p95, p99 ve hata oranı (ekler rehberi)</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Kayıtlı değil</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KAYIT YOK</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A.7.2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Kadıköy'de canlı hizmet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07.09.2026'dan beri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(dağıtım kaydı)</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A.2; K10</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İstanbul geneli temel yol ağı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193.552 düğüm, 505.694 bağlantı; 26 dakikada kurulmuştur (01.09.2026)</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canlı hizmette kullanılmamakta, gecikmesi ölçülmemiştir</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 A.11</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Süreler her 180 saniyede canlı trafikle güncellenir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Trafik verisi 180 s geçerli; eşleme Kadıköy ağının %44,9'unu kapsıyor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(kapsam, Temmuz 2026)</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A.3; K1 §5</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On iki durağa kadar kesin teslimat sıralaması (1.1, 2.1)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Held-Karp; 3, 5 ve 7 duraklı örneklerde tüm sıralamaları deneyen referansla aynı sonuç</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ÖLÇÜLDÜ (küçük örneklerde)</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tests/test_delivery.py; K2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Motosiklet ETA'sı, canlı otomobil hızlarına motosiklete özgü hız farkı uygulanarak hesaplanır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Farkın başlangıç değerleri</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VARSAYIM</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A.3; K2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Saha ETA doğruluğu (2.1, 2.2, 4.3)</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Ay 6 ≤%25 (en az 300 sürüş); Ay 12 ≤%18 (360); Ay 18 ≤%15 (1.000)</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A.9.2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Referans otomobil ETA'sına göre hata azalması (2.2)</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Ölçülecek; eşik tanımlanmamıştır</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A.9.1</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Rota yasallığı (4.3)</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200 rotada 0 yasak yol ya da dönüş ihlali, Eylül 2027</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HEDEF</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A.9.2</w:t>
            </w:r>
          </w:p>
        </w:tc>
      </w:tr>
      <w:tr>
        <w:trPr>
          <w:cantSplit/>
          <w:tblHeader w:val="off"/>
        </w:trPr>
        <w:tc>
          <w:tcPr>
            <w:tcW w:type="dxa" w:w="2971"/>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THS 5 ve THS 6 düzeyi (1.1)</w:t>
            </w:r>
          </w:p>
        </w:tc>
        <w:tc>
          <w:tcPr>
            <w:tcW w:type="dxa" w:w="2575"/>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%88; ortalama %76</w:t>
            </w:r>
          </w:p>
        </w:tc>
        <w:tc>
          <w:tcPr>
            <w:tcW w:type="dxa" w:w="1783"/>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ÖZ DEĞERLENDİRME</w:t>
            </w:r>
          </w:p>
        </w:tc>
        <w:tc>
          <w:tcPr>
            <w:tcW w:type="dxa" w:w="2577"/>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Ek-B</w:t>
            </w:r>
          </w:p>
        </w:tc>
      </w:tr>
    </w:tbl>
    <w:p>
      <w:pPr>
        <w:spacing w:after="60"/>
      </w:pPr>
    </w:p>
    <w:p>
      <w:pPr>
        <w:spacing w:after="100" w:before="40"/>
      </w:pPr>
      <w:r>
        <w:rPr>
          <w:rFonts w:ascii="Arial" w:cs="Arial" w:eastAsia="Arial" w:hAnsi="Arial"/>
          <w:i/>
          <w:iCs/>
          <w:color w:val="595959"/>
          <w:sz w:val="16"/>
          <w:szCs w:val="16"/>
        </w:rPr>
        <w:t xml:space="preserve">Not: ÖLÇÜLDÜ, MotoMap'in tarihli ölçümü ya da kaydıdır. HEDEF, tarihli ve henüz gerçekleşmemiş değerdir. VARSAYIM, ampirik dayanağı bulunmayan model girdisidir. ÖZ DEĞERLENDİRME, ekip tarafından yapılan puanlamadır. KAYIT YOK, ölçüme ait değerin kayıtlarda bulunmadığını gösterir.</w:t>
      </w:r>
    </w:p>
    <w:p>
      <w:pPr>
        <w:pStyle w:val="Heading1"/>
        <w:keepNext/>
        <w:spacing w:after="100" w:before="260"/>
      </w:pPr>
      <w:r>
        <w:rPr>
          <w:rFonts w:ascii="Arial" w:cs="Arial" w:eastAsia="Arial" w:hAnsi="Arial"/>
          <w:b/>
          <w:bCs/>
          <w:i w:val="false"/>
          <w:iCs w:val="false"/>
          <w:color w:val="000000"/>
          <w:sz w:val="26"/>
          <w:szCs w:val="26"/>
        </w:rPr>
        <w:t xml:space="preserve">A.11 Sınırlılıklar</w:t>
      </w:r>
    </w:p>
    <w:p>
      <w:pPr>
        <w:pStyle w:val="ListParagraph"/>
        <w:numPr>
          <w:ilvl w:val="0"/>
          <w:numId w:val="2"/>
        </w:numPr>
        <w:spacing w:after="50"/>
      </w:pPr>
      <w:r>
        <w:rPr>
          <w:rFonts w:ascii="Arial" w:cs="Arial" w:eastAsia="Arial" w:hAnsi="Arial"/>
          <w:sz w:val="18"/>
          <w:szCs w:val="18"/>
        </w:rPr>
        <w:t xml:space="preserve">Saha doğruluğu: Bu ekteki değerlerin hiçbiri varış süresinin sahadaki doğruluğunu göstermez. Saha sürüşlerinden elde edilmiş ETA sonucu bulunmamaktadır; ilk sonuç Ay 6'da raporlanacaktır. İstanbul geneli ağda 01.09.2026'da 15 koridorda yapılan iç tanı taramasında, canlı trafik girdisi olmadan serbest akış kestirimiyle çalışan motor 15 koridorun 14'ünde ticari bir navigasyon hizmetinin aynı andaki canlı süresinden daha uzun süre vermiştir (K9). Bu tarama iki farklı kestiriciyi karşılaştırdığından doğruluk ölçümü değildir. Serbest akış süresinin canlı trafikli süreden uzun çıkması, serbest akış katmanının süreyi uzun kestirdiğine ve kalibrasyon gerektirdiğine işaret etmektedir.</w:t>
      </w:r>
    </w:p>
    <w:p>
      <w:pPr>
        <w:pStyle w:val="ListParagraph"/>
        <w:numPr>
          <w:ilvl w:val="0"/>
          <w:numId w:val="2"/>
        </w:numPr>
        <w:spacing w:after="50"/>
      </w:pPr>
      <w:r>
        <w:rPr>
          <w:rFonts w:ascii="Arial" w:cs="Arial" w:eastAsia="Arial" w:hAnsi="Arial"/>
          <w:sz w:val="18"/>
          <w:szCs w:val="18"/>
        </w:rPr>
        <w:t xml:space="preserve">Dönem ve sürüm: Referans karşılaştırmaları (40/40 ve 30/30) Temmuz 2026'da v0.7.1 ile ve yalnız Kadıköy ağında (3.039 düğüm) yapılmıştır. Çalıştırma çıktıları, çift listeleri ve ölçüm donanımı depoda kayıtlı değildir. CCH'nin kurulum yöntemi 26.09.2026'da değişmiş, Kadıköy karşılaştırmalarının güncel sürümle yinelendiğine ilişkin kayıt bulunmamaktadır. İstanbul geneli ağda referans karşılaştırması yapılmamıştır.</w:t>
      </w:r>
    </w:p>
    <w:p>
      <w:pPr>
        <w:pStyle w:val="ListParagraph"/>
        <w:numPr>
          <w:ilvl w:val="0"/>
          <w:numId w:val="2"/>
        </w:numPr>
        <w:spacing w:after="50"/>
      </w:pPr>
      <w:r>
        <w:rPr>
          <w:rFonts w:ascii="Arial" w:cs="Arial" w:eastAsia="Arial" w:hAnsi="Arial"/>
          <w:sz w:val="18"/>
          <w:szCs w:val="18"/>
        </w:rPr>
        <w:t xml:space="preserve">Dönüş kısıtı kapsamı: Kadıköy'de çekilen 82 kısıt ilişkisinin 50'si uygulanmaktadır. Ara üyesi yol olan kısıtlar ile ara düğümü grafta bulunmayan kısıtlar dışarıda kalmakta, OSM'ye işlenmemiş dönüş yasakları ise motorun bilgisi dışında bulunmaktadır. Rota yasallığı Eylül 2027'de 200 rotalık denetimle ölçülecektir (A.9.2).</w:t>
      </w:r>
    </w:p>
    <w:p>
      <w:pPr>
        <w:pStyle w:val="ListParagraph"/>
        <w:numPr>
          <w:ilvl w:val="0"/>
          <w:numId w:val="2"/>
        </w:numPr>
        <w:spacing w:after="50"/>
      </w:pPr>
      <w:r>
        <w:rPr>
          <w:rFonts w:ascii="Arial" w:cs="Arial" w:eastAsia="Arial" w:hAnsi="Arial"/>
          <w:sz w:val="18"/>
          <w:szCs w:val="18"/>
        </w:rPr>
        <w:t xml:space="preserve">Yük testinin kapsamı: VPS ölçümü yalnız Kadıköy ağında, ısınmış grafla ve hız sınırlayıcı kapalıyken yapılmıştır. Ölçümün p95, p99 ve hata oranı değerleri ile ham kaydı bulunmamaktadır. Canlı hizmete 26.09.2026'da alınan sürüm (ülke grafı ve yeni CCH kurulumu dahil) yük altında ölçülmemiştir.</w:t>
      </w:r>
    </w:p>
    <w:p>
      <w:pPr>
        <w:pStyle w:val="ListParagraph"/>
        <w:numPr>
          <w:ilvl w:val="0"/>
          <w:numId w:val="2"/>
        </w:numPr>
        <w:spacing w:after="50"/>
      </w:pPr>
      <w:r>
        <w:rPr>
          <w:rFonts w:ascii="Arial" w:cs="Arial" w:eastAsia="Arial" w:hAnsi="Arial"/>
          <w:sz w:val="18"/>
          <w:szCs w:val="18"/>
        </w:rPr>
        <w:t xml:space="preserve">Soğuk başlangıç ve trafik güncellemesi: Süreç yeniden başladıktan sonraki ilk istek 06.09.2026 ölçümünde yaklaşık 8 saniye sürmüştür. Yeni trafik dönemindeki ilk istek, üç sürüş modunun yeniden özelleştirilmesi nedeniyle 533 ms sürmüş, sonraki istek 25 ms'ye inmiştir (dizüstü bilgisayar; K5). Tablo A-5'teki değerler ısınmış graf içindir.</w:t>
      </w:r>
    </w:p>
    <w:p>
      <w:pPr>
        <w:pStyle w:val="ListParagraph"/>
        <w:numPr>
          <w:ilvl w:val="0"/>
          <w:numId w:val="2"/>
        </w:numPr>
        <w:spacing w:after="50"/>
      </w:pPr>
      <w:r>
        <w:rPr>
          <w:rFonts w:ascii="Arial" w:cs="Arial" w:eastAsia="Arial" w:hAnsi="Arial"/>
          <w:sz w:val="18"/>
          <w:szCs w:val="18"/>
        </w:rPr>
        <w:t xml:space="preserve">İstanbul ölçeği: İstanbul geneli temel ağ 01.09.2026'da kurulmuştur (193.552 düğüm, 505.694 bağlantı; K9). Ağın 25.09.2026 ölçümüne göre tam rota isteği işçi başına 5,6–6,0 GB bellek gerektirmekte ve 8 GB'lık üretim sunucusunda bir işçiye sığmamaktadır; genişletilmiş CCH 25,3 milyon kısayol içermekte, bir özelleştirme 73 saniye işlemci süresi almaktadır (K8). Bu ölçüm 26.09.2026 CCH değişikliğinden öncedir. İstanbul genelinde gecikme ve yük ölçülmemiştir.</w:t>
      </w:r>
    </w:p>
    <w:p>
      <w:pPr>
        <w:pStyle w:val="ListParagraph"/>
        <w:numPr>
          <w:ilvl w:val="0"/>
          <w:numId w:val="2"/>
        </w:numPr>
        <w:spacing w:after="50"/>
      </w:pPr>
      <w:r>
        <w:rPr>
          <w:rFonts w:ascii="Arial" w:cs="Arial" w:eastAsia="Arial" w:hAnsi="Arial"/>
          <w:sz w:val="18"/>
          <w:szCs w:val="18"/>
        </w:rPr>
        <w:t xml:space="preserve">Canlı trafik kapsamı: HERE eşlemesi Kadıköy ağının %44,9'unu, temsili bir rotanın %94'ünü kapsamıştır (Temmuz 2026; K1 §5). Canlı ölçümü bulunmayan bağlantılarda istatistiksel sıkışıklık varsayımı kullanılmaktadır (K2).</w:t>
      </w:r>
    </w:p>
    <w:p>
      <w:pPr>
        <w:pStyle w:val="ListParagraph"/>
        <w:numPr>
          <w:ilvl w:val="0"/>
          <w:numId w:val="2"/>
        </w:numPr>
        <w:spacing w:after="50"/>
      </w:pPr>
      <w:r>
        <w:rPr>
          <w:rFonts w:ascii="Arial" w:cs="Arial" w:eastAsia="Arial" w:hAnsi="Arial"/>
          <w:sz w:val="18"/>
          <w:szCs w:val="18"/>
        </w:rPr>
        <w:t xml:space="preserve">Ülke grafı: Kadıköy dışındaki rotalar GraphHopper ülke grafından üretilmektedir. Bu rotalarda canlı trafik ve motosiklet hız farkı uygulanmamakta, ortalama eğim ve yüksek risk alanları boş kalmaktadır (K8). Bu ekteki testler bu rotaları kapsamaz.</w:t>
      </w:r>
    </w:p>
    <w:p>
      <w:pPr>
        <w:pStyle w:val="ListParagraph"/>
        <w:numPr>
          <w:ilvl w:val="0"/>
          <w:numId w:val="2"/>
        </w:numPr>
        <w:spacing w:after="50"/>
      </w:pPr>
      <w:r>
        <w:rPr>
          <w:rFonts w:ascii="Arial" w:cs="Arial" w:eastAsia="Arial" w:hAnsi="Arial"/>
          <w:sz w:val="18"/>
          <w:szCs w:val="18"/>
        </w:rPr>
        <w:t xml:space="preserve">Süre modeli: Motosiklet hız farkının başlangıç değerleri ampirik dayanaktan yoksundur (VARSAYIM); kavşak gecikmesi modellenmemektedir (K1 §17). Hız farkı, proje sürecinde kullanıcı onayıyla toplanacak sürüş verileriyle kestirilecektir (iş planı 1.1).</w:t>
      </w:r>
    </w:p>
    <w:p>
      <w:pPr>
        <w:pStyle w:val="Heading1"/>
        <w:keepNext/>
        <w:spacing w:after="100" w:before="260"/>
      </w:pPr>
      <w:r>
        <w:rPr>
          <w:rFonts w:ascii="Arial" w:cs="Arial" w:eastAsia="Arial" w:hAnsi="Arial"/>
          <w:b/>
          <w:bCs/>
          <w:i w:val="false"/>
          <w:iCs w:val="false"/>
          <w:color w:val="000000"/>
          <w:sz w:val="26"/>
          <w:szCs w:val="26"/>
        </w:rPr>
        <w:t xml:space="preserve">A.12 Kaynaklar</w:t>
      </w:r>
    </w:p>
    <w:p>
      <w:pPr>
        <w:keepNext/>
        <w:spacing w:after="60" w:before="140"/>
      </w:pPr>
      <w:r>
        <w:rPr>
          <w:rFonts w:ascii="Arial" w:cs="Arial" w:eastAsia="Arial" w:hAnsi="Arial"/>
          <w:b/>
          <w:bCs/>
          <w:sz w:val="18"/>
          <w:szCs w:val="18"/>
        </w:rPr>
        <w:t xml:space="preserve">Tablo A-10. Kaynak listesi</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
        <w:gridCol w:w="8916"/>
      </w:tblGrid>
      <w:tr>
        <w:trPr>
          <w:cantSplit/>
          <w:tblHeader/>
        </w:trPr>
        <w:tc>
          <w:tcPr>
            <w:tcW w:type="dxa" w:w="990"/>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Kod</w:t>
            </w:r>
          </w:p>
        </w:tc>
        <w:tc>
          <w:tcPr>
            <w:tcW w:type="dxa" w:w="8916"/>
            <w:tcBorders>
              <w:top w:val="single" w:color="808080" w:sz="4"/>
              <w:left w:val="single" w:color="808080" w:sz="4"/>
              <w:bottom w:val="single" w:color="808080" w:sz="4"/>
              <w:right w:val="single" w:color="808080" w:sz="4"/>
            </w:tcBorders>
            <w:shd w:fill="D9D9D9" w:color="auto" w:val="clear"/>
            <w:tcMar>
              <w:top w:type="dxa" w:w="50"/>
              <w:left w:type="dxa" w:w="80"/>
              <w:bottom w:type="dxa" w:w="50"/>
              <w:right w:type="dxa" w:w="80"/>
            </w:tcMar>
            <w:vAlign w:val="top"/>
          </w:tcPr>
          <w:p>
            <w:pPr>
              <w:spacing w:after="30"/>
            </w:pPr>
            <w:r>
              <w:rPr>
                <w:rFonts w:ascii="Arial" w:cs="Arial" w:eastAsia="Arial" w:hAnsi="Arial"/>
                <w:b/>
                <w:bCs/>
                <w:sz w:val="17"/>
                <w:szCs w:val="17"/>
              </w:rPr>
              <w:t xml:space="preserve">Kaynak</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 v0.7.1” sürüm notu, motomap-engine deposu, docs/release-notes/v0.7.1.md, 21.07.2026.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[K2]</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 Technical Report: A Motorcycle-Aware Routing Engine”, motor sürümü v0.7.5, Temmuz 2026, 120 sayfa; docs/report/motomap-technical-report.pdf,.md ve.tex.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[K3]</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motomap-engine commit f786171, “Uvicorn ran one worker on a two-core box, so half the machine sat idle”, 08.09.2026; ana dalda 7640bf6; docker-compose.prod.yml, satır 60–72. İç kayıt</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[K4]</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 API response and load test, 4 September 2026”, loadtest/RESULTS-2026-09-04.md ve loadtest/evidence/2026-09-04/, 04.09.2026.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[K5]</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“Native CCH Docker repair, 6 September 2026”, loadtest/RESULTS-2026-09-06-native.md ve loadtest/evidence/2026-09-06-native/, 06.09.2026.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[K6]</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 load and end-to-end test report”, loadtest/RESULTS.md, 21.07.2026.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[K7]</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“H2 arrival time accuracy: measurement protocol”, docs/reference/h2-accuracy-protocol.md, 1. sürüm, 10.08.2026.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[K8]</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“The country graph”, docs/graphhopper.md, commit 1c26891, 26.09.2026.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[K9]</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motomap-website deposu, design-brief.md, satır 285–305 (İstanbul geneli ağ ve 15 koridorluk tarama, 01.09.2026). İç belge</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[K10]</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motomap-deploy aracının dağıtım günlüğü (deploy.log), 07.09.2026–26.09.2026. İç kayıt</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[K11]</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Dijkstra E. W., “A note on two problems in connexion with graphs”, Numerische Mathematik 1, 269–271, 1959. </w:t>
            </w:r>
            <w:hyperlink w:history="1" r:id="rIdnyi-ij3vg8oq1a4lqbf3x">
              <w:r>
                <w:rPr>
                  <w:rFonts w:ascii="Arial" w:cs="Arial" w:eastAsia="Arial" w:hAnsi="Arial"/>
                  <w:color w:val="1F4E79"/>
                  <w:sz w:val="17"/>
                  <w:szCs w:val="17"/>
                </w:rPr>
                <w:t xml:space="preserve">https://doi.org/10.1007/BF01386390</w:t>
              </w:r>
            </w:hyperlink>
            <w:r>
              <w:rPr>
                <w:rFonts w:ascii="Arial" w:cs="Arial" w:eastAsia="Arial" w:hAnsi="Arial"/>
                <w:sz w:val="17"/>
                <w:szCs w:val="17"/>
              </w:rPr>
              <w:t xml:space="preserve"> (erişim 30.09.2026)</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[K12]</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Dibbelt J., Strasser B., Wagner D., “Customizable Contraction Hierarchies”, ACM Journal of Experimental Algorithmics 21, Makale 1.5, 2016. </w:t>
            </w:r>
            <w:hyperlink w:history="1" r:id="rIdmvgmahjwrdglhntkdfkmq">
              <w:r>
                <w:rPr>
                  <w:rFonts w:ascii="Arial" w:cs="Arial" w:eastAsia="Arial" w:hAnsi="Arial"/>
                  <w:color w:val="1F4E79"/>
                  <w:sz w:val="17"/>
                  <w:szCs w:val="17"/>
                </w:rPr>
                <w:t xml:space="preserve">https://doi.org/10.1145/2886843</w:t>
              </w:r>
            </w:hyperlink>
            <w:r>
              <w:rPr>
                <w:rFonts w:ascii="Arial" w:cs="Arial" w:eastAsia="Arial" w:hAnsi="Arial"/>
                <w:sz w:val="17"/>
                <w:szCs w:val="17"/>
              </w:rPr>
              <w:t xml:space="preserve"> (erişim 30.09.2026)</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[K13]</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Geisberger R., Vetter C., “Efficient Routing in Road Networks with Turn Costs”, SEA 2011, LNCS 6630, 100–111, Springer, 2011. </w:t>
            </w:r>
            <w:hyperlink w:history="1" r:id="rIdp580vrio43naffhdo_pbo">
              <w:r>
                <w:rPr>
                  <w:rFonts w:ascii="Arial" w:cs="Arial" w:eastAsia="Arial" w:hAnsi="Arial"/>
                  <w:color w:val="1F4E79"/>
                  <w:sz w:val="17"/>
                  <w:szCs w:val="17"/>
                </w:rPr>
                <w:t xml:space="preserve">https://doi.org/10.1007/978-3-642-20662-7_9</w:t>
              </w:r>
            </w:hyperlink>
            <w:r>
              <w:rPr>
                <w:rFonts w:ascii="Arial" w:cs="Arial" w:eastAsia="Arial" w:hAnsi="Arial"/>
                <w:sz w:val="17"/>
                <w:szCs w:val="17"/>
              </w:rPr>
              <w:t xml:space="preserve"> (erişim 30.09.2026)</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[K14]</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Buchhold V., Wagner D., Zeitz T., Zündorf M., “Customizable Contraction Hierarchies with Turn Costs”, ATMOS 2020, OASIcs 85, 9:1–9:15, 2020. </w:t>
            </w:r>
            <w:hyperlink w:history="1" r:id="rIdga80kikbmtwisx8h8byhn">
              <w:r>
                <w:rPr>
                  <w:rFonts w:ascii="Arial" w:cs="Arial" w:eastAsia="Arial" w:hAnsi="Arial"/>
                  <w:color w:val="1F4E79"/>
                  <w:sz w:val="17"/>
                  <w:szCs w:val="17"/>
                </w:rPr>
                <w:t xml:space="preserve">https://doi.org/10.4230/OASIcs.ATMOS.2020.9</w:t>
              </w:r>
            </w:hyperlink>
            <w:r>
              <w:rPr>
                <w:rFonts w:ascii="Arial" w:cs="Arial" w:eastAsia="Arial" w:hAnsi="Arial"/>
                <w:sz w:val="17"/>
                <w:szCs w:val="17"/>
              </w:rPr>
              <w:t xml:space="preserve"> (erişim 30.09.2026)</w:t>
            </w:r>
          </w:p>
        </w:tc>
      </w:tr>
      <w:tr>
        <w:trPr>
          <w:cantSplit/>
          <w:tblHeader w:val="off"/>
        </w:trPr>
        <w:tc>
          <w:tcPr>
            <w:tcW w:type="dxa" w:w="99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[K15]</w:t>
            </w:r>
          </w:p>
        </w:tc>
        <w:tc>
          <w:tcPr>
            <w:tcW w:type="dxa" w:w="8916"/>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pPr>
            <w:r>
              <w:rPr>
                <w:rFonts w:ascii="Arial" w:cs="Arial" w:eastAsia="Arial" w:hAnsi="Arial"/>
                <w:sz w:val="17"/>
                <w:szCs w:val="17"/>
              </w:rPr>
              <w:t xml:space="preserve">MotoMap, “AGY 112 İş Planı”, 1.1, 1.6, 1.7, 2.1, 2.2, 2.4, 2.7 ve 4.3 alanları, Eylül 2026</w:t>
            </w:r>
          </w:p>
        </w:tc>
      </w:tr>
    </w:tbl>
    <w:p>
      <w:pPr>
        <w:spacing w:after="60"/>
      </w:pP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Ek-A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Arial" w:cs="Arial" w:eastAsia="Arial" w:hAnsi="Arial"/>
      <w:b/>
      <w:bCs/>
      <w:color w:val="000000"/>
      <w:sz w:val="26"/>
      <w:szCs w:val="26"/>
    </w:rPr>
  </w:style>
  <w:style w:type="paragraph" w:styleId="Heading2">
    <w:name w:val="Heading 2"/>
    <w:basedOn w:val="Normal"/>
    <w:next w:val="Normal"/>
    <w:qFormat/>
    <w:pPr>
      <w:spacing w:after="80" w:before="180"/>
      <w:outlineLvl w:val="1"/>
    </w:pPr>
    <w:rPr>
      <w:rFonts w:ascii="Arial" w:cs="Arial" w:eastAsia="Arial" w:hAnsi="Arial"/>
      <w:b/>
      <w:bCs/>
      <w:color w:val="000000"/>
      <w:sz w:val="21"/>
      <w:szCs w:val="21"/>
    </w:rPr>
  </w:style>
  <w:style w:type="paragraph" w:styleId="Heading3">
    <w:name w:val="Heading 3"/>
    <w:basedOn w:val="Normal"/>
    <w:next w:val="Normal"/>
    <w:qFormat/>
    <w:pPr>
      <w:spacing w:after="60" w:before="140"/>
      <w:outlineLvl w:val="2"/>
    </w:pPr>
    <w:rPr>
      <w:rFonts w:ascii="Arial" w:cs="Arial" w:eastAsia="Arial" w:hAnsi="Arial"/>
      <w:b/>
      <w:bCs/>
      <w:i/>
      <w:iCs/>
      <w:color w:val="000000"/>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nyi-ij3vg8oq1a4lqbf3x" Type="http://schemas.openxmlformats.org/officeDocument/2006/relationships/hyperlink" Target="https://doi.org/10.1007/BF01386390" TargetMode="External"/><Relationship Id="rIdmvgmahjwrdglhntkdfkmq" Type="http://schemas.openxmlformats.org/officeDocument/2006/relationships/hyperlink" Target="https://doi.org/10.1145/2886843" TargetMode="External"/><Relationship Id="rIdp580vrio43naffhdo_pbo" Type="http://schemas.openxmlformats.org/officeDocument/2006/relationships/hyperlink" Target="https://doi.org/10.1007/978-3-642-20662-7_9" TargetMode="External"/><Relationship Id="rIdga80kikbmtwisx8h8byhn" Type="http://schemas.openxmlformats.org/officeDocument/2006/relationships/hyperlink" Target="https://doi.org/10.4230/OASIcs.ATMOS.2020.9"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Ek-A Teknik Doğrulama ve Performans Raporu</dc:title>
  <dc:creator>MotoMap</dc:creator>
  <cp:lastModifiedBy>Un-named</cp:lastModifiedBy>
  <cp:revision>1</cp:revision>
  <dcterms:created xsi:type="dcterms:W3CDTF">2026-09-30T16:41:27.221Z</dcterms:created>
  <dcterms:modified xsi:type="dcterms:W3CDTF">2026-09-30T16:41:27.221Z</dcterms:modified>
</cp:coreProperties>
</file>

<file path=docProps/custom.xml><?xml version="1.0" encoding="utf-8"?>
<Properties xmlns="http://schemas.openxmlformats.org/officeDocument/2006/custom-properties" xmlns:vt="http://schemas.openxmlformats.org/officeDocument/2006/docPropsVTypes"/>
</file>