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Ek-B</w:t>
      </w:r>
    </w:p>
    <w:p>
      <w:pPr>
        <w:spacing w:after="60"/>
      </w:pPr>
      <w:r>
        <w:rPr>
          <w:rFonts w:ascii="Arial" w:cs="Arial" w:eastAsia="Arial" w:hAnsi="Arial"/>
          <w:b/>
          <w:bCs/>
          <w:sz w:val="36"/>
          <w:szCs w:val="36"/>
        </w:rPr>
        <w:t xml:space="preserve">THS Değerlendirme ve Kanıt Matrisi</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B.1 Amaç ve kapsam</w:t>
      </w:r>
    </w:p>
    <w:p>
      <w:pPr>
        <w:spacing w:after="90"/>
      </w:pPr>
      <w:r>
        <w:rPr>
          <w:rFonts w:ascii="Arial" w:cs="Arial" w:eastAsia="Arial" w:hAnsi="Arial"/>
          <w:sz w:val="18"/>
          <w:szCs w:val="18"/>
        </w:rPr>
        <w:t xml:space="preserve">Bu ek, iş planının 1.1 ve 3.1 alanlarındaki Teknoloji Hazırlık Seviyesi (THS) beyanının (THS 5'te %88, THS 6'da %76) TÜBİTAK yazılım soru setinin hangi kriterlerine ve hangi kanıtlara dayandığını göstermek amacıyla hazırlanmıştır; THS 6'yı tamamlamak için kalan işler 4.3'teki kilometre taşlarıyla aynı tarihlerle sunulmaktadır.</w:t>
      </w:r>
    </w:p>
    <w:p>
      <w:pPr>
        <w:spacing w:after="90"/>
      </w:pPr>
      <w:r>
        <w:rPr>
          <w:rFonts w:ascii="Arial" w:cs="Arial" w:eastAsia="Arial" w:hAnsi="Arial"/>
          <w:sz w:val="18"/>
          <w:szCs w:val="18"/>
        </w:rPr>
        <w:t xml:space="preserve">Ek; puanlama yöntemini ve %80 kabul eşiğini, seviye bazında sonucu, THS 5 ve THS 6 sorularının kanıt matrisini, iki seviyenin hesabını, THS 7 ve THS 8'in kısa görünümünü ve THS 6 için kalan işleri kapsamaktadır. Parantez içindeki 1.1, 4.3 gibi numaralar iş planındaki alanı gösterir [K6]. S5.1 ya da S6.5 gibi soru kodları okuma kolaylığı için eklenmiştir ve setteki sırayı izler.</w:t>
      </w:r>
    </w:p>
    <w:p>
      <w:pPr>
        <w:spacing w:after="90"/>
      </w:pPr>
      <w:r>
        <w:rPr>
          <w:rFonts w:ascii="Arial" w:cs="Arial" w:eastAsia="Arial" w:hAnsi="Arial"/>
          <w:sz w:val="18"/>
          <w:szCs w:val="18"/>
        </w:rPr>
        <w:t xml:space="preserve">Değerlendirme bir öz değerlendirmedir. Puanları MotoMap kurucu ekibi 23.09.2026 durumuna göre vermiştir; kanıt dosyaları 30.09.2026'da yeniden kontrol edilmiş, puanlar değiştirilmemiştir. Değerlendirme bağımsız bir denetim ya da TÜBİTAK tespiti değildir (B.9).</w:t>
      </w:r>
    </w:p>
    <w:p>
      <w:pPr>
        <w:pStyle w:val="Heading1"/>
        <w:keepNext/>
        <w:spacing w:after="100" w:before="260"/>
      </w:pPr>
      <w:r>
        <w:rPr>
          <w:rFonts w:ascii="Arial" w:cs="Arial" w:eastAsia="Arial" w:hAnsi="Arial"/>
          <w:b/>
          <w:bCs/>
          <w:i w:val="false"/>
          <w:iCs w:val="false"/>
          <w:color w:val="000000"/>
          <w:sz w:val="26"/>
          <w:szCs w:val="26"/>
        </w:rPr>
        <w:t xml:space="preserve">B.2 Yöntem</w:t>
      </w:r>
    </w:p>
    <w:p>
      <w:pPr>
        <w:pStyle w:val="Heading2"/>
        <w:keepNext/>
        <w:spacing w:after="80" w:before="180"/>
      </w:pPr>
      <w:r>
        <w:rPr>
          <w:rFonts w:ascii="Arial" w:cs="Arial" w:eastAsia="Arial" w:hAnsi="Arial"/>
          <w:b/>
          <w:bCs/>
          <w:i w:val="false"/>
          <w:iCs w:val="false"/>
          <w:color w:val="000000"/>
          <w:sz w:val="21"/>
          <w:szCs w:val="21"/>
        </w:rPr>
        <w:t xml:space="preserve">B.2.1 Soru seti</w:t>
      </w:r>
    </w:p>
    <w:p>
      <w:pPr>
        <w:spacing w:after="90"/>
      </w:pPr>
      <w:r>
        <w:rPr>
          <w:rFonts w:ascii="Arial" w:cs="Arial" w:eastAsia="Arial" w:hAnsi="Arial"/>
          <w:sz w:val="18"/>
          <w:szCs w:val="18"/>
        </w:rPr>
        <w:t xml:space="preserve">Değerlendirmede TÜBİTAK'ın “Teknoloji Hazırlık Seviyesi (THS) Belirleme” sayfasında yayımladığı Excel dosyasının “Yazılım” sayfası kullanılmıştır (Nisan 2024 sürümü) [K1, K2]. Sayfa dokuz seviyede 47 soru içermektedir: THS 1'de 5, THS 2 ve THS 3'te 4'er, THS 4'te 7, THS 5'te 8, THS 6, THS 7 ve THS 8'de 5'er, THS 9'da 4 soru bulunmaktadır. Soru metinleri bu ekte yer darlığı nedeniyle kısaltılmıştır; tam metinler setteki ifadelerdir.</w:t>
      </w:r>
    </w:p>
    <w:p>
      <w:pPr>
        <w:pStyle w:val="Heading2"/>
        <w:keepNext/>
        <w:spacing w:after="80" w:before="180"/>
      </w:pPr>
      <w:r>
        <w:rPr>
          <w:rFonts w:ascii="Arial" w:cs="Arial" w:eastAsia="Arial" w:hAnsi="Arial"/>
          <w:b/>
          <w:bCs/>
          <w:i w:val="false"/>
          <w:iCs w:val="false"/>
          <w:color w:val="000000"/>
          <w:sz w:val="21"/>
          <w:szCs w:val="21"/>
        </w:rPr>
        <w:t xml:space="preserve">B.2.2 Yanıt ölçeği ve puanlama formülü</w:t>
      </w:r>
    </w:p>
    <w:p>
      <w:pPr>
        <w:spacing w:after="90"/>
      </w:pPr>
      <w:r>
        <w:rPr>
          <w:rFonts w:ascii="Arial" w:cs="Arial" w:eastAsia="Arial" w:hAnsi="Arial"/>
          <w:sz w:val="18"/>
          <w:szCs w:val="18"/>
        </w:rPr>
        <w:t xml:space="preserve">Setteki her soru, altı düzeyli ölçekte yalnız bir kutucuğun büyük harf “X” ile işaretlenmesiyle yanıtlanır [K1, K2]. Dosya her düzeyi bir tamamlanma yüzdesine çevirir (Tablo B-1). Bir seviyenin ortalama tamamlanma yüzdesi, o seviyedeki soruların tamamlanma yüzdelerinin aritmetik ortalamasıdır; her soruya eşit ağırlık verilir [K1]. Aynı hesap puanlarla şöyle yazılır:</w:t>
      </w:r>
    </w:p>
    <w:p>
      <w:pPr>
        <w:spacing w:after="90"/>
      </w:pPr>
      <w:r>
        <w:rPr>
          <w:rFonts w:ascii="Arial" w:cs="Arial" w:eastAsia="Arial" w:hAnsi="Arial"/>
          <w:sz w:val="18"/>
          <w:szCs w:val="18"/>
        </w:rPr>
        <w:t xml:space="preserve">Ortalama tamamlanma (%) = seviyedeki puanların toplamı / (5 × soru sayısı) × 100</w:t>
      </w:r>
    </w:p>
    <w:p>
      <w:pPr>
        <w:keepNext/>
        <w:spacing w:after="60" w:before="140"/>
      </w:pPr>
      <w:r>
        <w:rPr>
          <w:rFonts w:ascii="Arial" w:cs="Arial" w:eastAsia="Arial" w:hAnsi="Arial"/>
          <w:b/>
          <w:bCs/>
          <w:sz w:val="18"/>
          <w:szCs w:val="18"/>
        </w:rPr>
        <w:t xml:space="preserve">Tablo B-1. Yanıt ölçeği, setteki yüzde karşılığı ve bu ekteki durum</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6231"/>
        <w:gridCol w:w="2967"/>
        <w:gridCol w:w="4453"/>
      </w:tblGrid>
      <w:tr>
        <w:trPr>
          <w:cantSplit/>
          <w:tblHeader/>
        </w:trPr>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Puan</w:t>
            </w:r>
          </w:p>
        </w:tc>
        <w:tc>
          <w:tcPr>
            <w:tcW w:type="dxa" w:w="623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Setteki ifade</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Setteki tamamlanma karşılığı</w:t>
            </w:r>
          </w:p>
        </w:tc>
        <w:tc>
          <w:tcPr>
            <w:tcW w:type="dxa" w:w="445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Bu ekteki durum</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62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Başlanmadı</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44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Sağlanmadı</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62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 başlandı</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w:t>
            </w:r>
          </w:p>
        </w:tc>
        <w:tc>
          <w:tcPr>
            <w:tcW w:type="dxa" w:w="44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Sağlanmadı</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62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Başlandı, az ilerleme kaydedildi</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w:t>
            </w:r>
          </w:p>
        </w:tc>
        <w:tc>
          <w:tcPr>
            <w:tcW w:type="dxa" w:w="44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Sağlanmadı</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62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Çalışmaların yaklaşık yarısı tamamlandı</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w:t>
            </w:r>
          </w:p>
        </w:tc>
        <w:tc>
          <w:tcPr>
            <w:tcW w:type="dxa" w:w="44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62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Çalışmaların büyük bölümü tamamlandı</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%80</w:t>
            </w:r>
          </w:p>
        </w:tc>
        <w:tc>
          <w:tcPr>
            <w:tcW w:type="dxa" w:w="44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62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Tamamlandı</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w:t>
            </w:r>
          </w:p>
        </w:tc>
        <w:tc>
          <w:tcPr>
            <w:tcW w:type="dxa" w:w="44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r>
    </w:tbl>
    <w:p>
      <w:pPr>
        <w:spacing w:after="60"/>
      </w:pPr>
    </w:p>
    <w:p>
      <w:pPr>
        <w:spacing w:after="100" w:before="40"/>
      </w:pPr>
      <w:r>
        <w:rPr>
          <w:rFonts w:ascii="Arial" w:cs="Arial" w:eastAsia="Arial" w:hAnsi="Arial"/>
          <w:i/>
          <w:iCs/>
          <w:color w:val="595959"/>
          <w:sz w:val="16"/>
          <w:szCs w:val="16"/>
        </w:rPr>
        <w:t xml:space="preserve">Not: “Sağlandı / Kısmen / Sağlanmadı” gösterimi setin parçası değildir; kriter durumunu üç düzeyde göstermek amacıyla bu ekte tanımlanmıştır. Hesapta yalnız 0–5 puanı kullanılır.</w:t>
      </w:r>
    </w:p>
    <w:p>
      <w:pPr>
        <w:pStyle w:val="Heading2"/>
        <w:keepNext/>
        <w:spacing w:after="80" w:before="180"/>
      </w:pPr>
      <w:r>
        <w:rPr>
          <w:rFonts w:ascii="Arial" w:cs="Arial" w:eastAsia="Arial" w:hAnsi="Arial"/>
          <w:b/>
          <w:bCs/>
          <w:i w:val="false"/>
          <w:iCs w:val="false"/>
          <w:color w:val="000000"/>
          <w:sz w:val="21"/>
          <w:szCs w:val="21"/>
        </w:rPr>
        <w:t xml:space="preserve">B.2.3 Kabul eşiği ve seviye kuralı</w:t>
      </w:r>
    </w:p>
    <w:p>
      <w:pPr>
        <w:spacing w:after="90"/>
      </w:pPr>
      <w:r>
        <w:rPr>
          <w:rFonts w:ascii="Arial" w:cs="Arial" w:eastAsia="Arial" w:hAnsi="Arial"/>
          <w:sz w:val="18"/>
          <w:szCs w:val="18"/>
        </w:rPr>
        <w:t xml:space="preserve">Setin dosyasındaki kurala göre “Ortalama Tamamlanma Yüzdesi ≥ 80 olan son TRL seviyesi, Projenin Teknolojik Hazırlık Seviyesi olarak kabul edilir” [K2]. TÜBİTAK'ın THS sayfası aynı kuralı “Ortalama tamamlanma yüzdesi 80 ve üzeri olan son THS; projenin teknolojik hazırlık seviyesi olarak kabul edilmektedir” ifadesiyle vermektedir [K1]. Dosyadaki formül seviyeleri THS 1'den başlayarak sırayla denetler ve ortalaması %80'in altında kalan ilk seviyede durur. Bu nedenle bir seviyenin kabulü için alttaki bütün seviyelerin de %80 ve üstünde olması gerekir. Bu ekte eşik “%80 ve üstü” olarak uygulanmıştır.</w:t>
      </w:r>
    </w:p>
    <w:p>
      <w:pPr>
        <w:spacing w:after="90"/>
      </w:pPr>
      <w:r>
        <w:rPr>
          <w:rFonts w:ascii="Arial" w:cs="Arial" w:eastAsia="Arial" w:hAnsi="Arial"/>
          <w:sz w:val="18"/>
          <w:szCs w:val="18"/>
        </w:rPr>
        <w:t xml:space="preserve">MotoMap bu kurala ek olarak bir ihtiyat kuralı uygulamaktadır: THS 6, set ortalaması %80'e ulaşsa bile 4.3'teki Kapı-1 ölçütü (en az 300 sürüş; ortalama mutlak yüzde hata ≤%25) sağlanmadan beyan edilmez. Bu kural setin parçası değildir; gerçek sürüşle ölçülmemiş bir süre modeline dayanan seviye beyanını önlemek amacıyla konmuştur.</w:t>
      </w:r>
    </w:p>
    <w:p>
      <w:pPr>
        <w:pStyle w:val="Heading2"/>
        <w:keepNext/>
        <w:spacing w:after="80" w:before="180"/>
      </w:pPr>
      <w:r>
        <w:rPr>
          <w:rFonts w:ascii="Arial" w:cs="Arial" w:eastAsia="Arial" w:hAnsi="Arial"/>
          <w:b/>
          <w:bCs/>
          <w:i w:val="false"/>
          <w:iCs w:val="false"/>
          <w:color w:val="000000"/>
          <w:sz w:val="21"/>
          <w:szCs w:val="21"/>
        </w:rPr>
        <w:t xml:space="preserve">B.2.4 Değerlendirmeyi yapanlar ve kanıt kuralları</w:t>
      </w:r>
    </w:p>
    <w:p>
      <w:pPr>
        <w:spacing w:after="90"/>
      </w:pPr>
      <w:r>
        <w:rPr>
          <w:rFonts w:ascii="Arial" w:cs="Arial" w:eastAsia="Arial" w:hAnsi="Arial"/>
          <w:sz w:val="18"/>
          <w:szCs w:val="18"/>
        </w:rPr>
        <w:t xml:space="preserve">Puanlar MotoMap kurucu ekibinin öz değerlendirmesidir; puanlamadan Teknoloji Direktörü (CTO) Muhammet Yağcıoğlu sorumludur (Tablo B-2). Kanıt olarak yalnız belgelenmiş ve tarihli ölçümler, test kayıtları ve teknik belgeler kullanılmıştır [K7]. Doğrulama protokolüyle ölçülmüş gerçek sürüş bulunmadığından sahadaki varış süresi doğruluğunu gerektiren sorularda (S5.5, S6.1, S7.5) puan düşük tutulmuştur.</w:t>
      </w:r>
    </w:p>
    <w:p>
      <w:pPr>
        <w:spacing w:after="90"/>
      </w:pPr>
      <w:r>
        <w:rPr>
          <w:rFonts w:ascii="Arial" w:cs="Arial" w:eastAsia="Arial" w:hAnsi="Arial"/>
          <w:sz w:val="18"/>
          <w:szCs w:val="18"/>
        </w:rPr>
        <w:t xml:space="preserve">THS 8 ve THS 9 puanlanmamıştır. THS 6, %80'in altında kaldığından setin formülü bu iki seviyenin puanından etkilenmez; THS 8 soruları proje sonunda, THS 9 soruları ticarileşme döneminde yanıtlanacaktır. Öz değerlendirme her İş Planı İlerleme Raporu (AGY312) döneminde aynı setle yenilenecektir [K3].</w:t>
      </w:r>
    </w:p>
    <w:p>
      <w:pPr>
        <w:spacing w:after="90"/>
      </w:pPr>
      <w:r>
        <w:rPr>
          <w:rFonts w:ascii="Arial" w:cs="Arial" w:eastAsia="Arial" w:hAnsi="Arial"/>
          <w:sz w:val="18"/>
          <w:szCs w:val="18"/>
        </w:rPr>
        <w:t xml:space="preserve">Matrislerdeki kanıt eki sütunu ayrıntının bulunduğu eki, depo dosyası sütunu ise MotoMap kod depolarındaki kaynak belgeyi gösterir. Depo yolları depo köküne görelidir; belgeler talep hâlinde gizlilik kaydıyla sunulur.</w:t>
      </w:r>
    </w:p>
    <w:p>
      <w:pPr>
        <w:keepNext/>
        <w:spacing w:after="60" w:before="140"/>
      </w:pPr>
      <w:r>
        <w:rPr>
          <w:rFonts w:ascii="Arial" w:cs="Arial" w:eastAsia="Arial" w:hAnsi="Arial"/>
          <w:b/>
          <w:bCs/>
          <w:sz w:val="18"/>
          <w:szCs w:val="18"/>
        </w:rPr>
        <w:t xml:space="preserve">Tablo B-2. Değerlendirme sorumluları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35"/>
        <w:gridCol w:w="8903"/>
      </w:tblGrid>
      <w:tr>
        <w:trPr>
          <w:cantSplit/>
          <w:tblHeader/>
        </w:trPr>
        <w:tc>
          <w:tcPr>
            <w:tcW w:type="dxa" w:w="59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Görev</w:t>
            </w:r>
          </w:p>
        </w:tc>
        <w:tc>
          <w:tcPr>
            <w:tcW w:type="dxa" w:w="890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Ad ve rol</w:t>
            </w:r>
          </w:p>
        </w:tc>
      </w:tr>
      <w:tr>
        <w:trPr>
          <w:cantSplit/>
          <w:tblHeader w:val="off"/>
        </w:trPr>
        <w:tc>
          <w:tcPr>
            <w:tcW w:type="dxa" w:w="59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 değerlendirmeden sorumlu</w:t>
            </w:r>
          </w:p>
        </w:tc>
        <w:tc>
          <w:tcPr>
            <w:tcW w:type="dxa" w:w="89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Muhammet Yağcıoğlu, CTO, MotoMap</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B.3 Sonuç özeti</w:t>
      </w:r>
    </w:p>
    <w:p>
      <w:pPr>
        <w:pStyle w:val="Heading2"/>
        <w:keepNext/>
        <w:spacing w:after="80" w:before="180"/>
      </w:pPr>
      <w:r>
        <w:rPr>
          <w:rFonts w:ascii="Arial" w:cs="Arial" w:eastAsia="Arial" w:hAnsi="Arial"/>
          <w:b/>
          <w:bCs/>
          <w:i w:val="false"/>
          <w:iCs w:val="false"/>
          <w:color w:val="000000"/>
          <w:sz w:val="21"/>
          <w:szCs w:val="21"/>
        </w:rPr>
        <w:t xml:space="preserve">B.3.1 Seviye bazında sonuç</w:t>
      </w:r>
    </w:p>
    <w:p>
      <w:pPr>
        <w:keepNext/>
        <w:spacing w:after="60" w:before="140"/>
      </w:pPr>
      <w:r>
        <w:rPr>
          <w:rFonts w:ascii="Arial" w:cs="Arial" w:eastAsia="Arial" w:hAnsi="Arial"/>
          <w:b/>
          <w:bCs/>
          <w:sz w:val="18"/>
          <w:szCs w:val="18"/>
        </w:rPr>
        <w:t xml:space="preserve">Tablo B-3. Seviye bazında puanlar ve durum (23.09.2026)</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8"/>
        <w:gridCol w:w="4896"/>
        <w:gridCol w:w="890"/>
        <w:gridCol w:w="1780"/>
        <w:gridCol w:w="1483"/>
        <w:gridCol w:w="2077"/>
        <w:gridCol w:w="2674"/>
      </w:tblGrid>
      <w:tr>
        <w:trPr>
          <w:cantSplit/>
          <w:tblHeader/>
        </w:trPr>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Seviye</w:t>
            </w:r>
          </w:p>
        </w:tc>
        <w:tc>
          <w:tcPr>
            <w:tcW w:type="dxa" w:w="489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Setteki tanım (kısaltılmış)</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Sağlandı / Kısmen / Sağlanmadı</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Puan (alınan / en yüksek)</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Ortalama tamamlanma</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1</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Temel bilimsel araştırmalar</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 / 1 / 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 / 25</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Tamamlanmış</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2</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Temel bilimsel araştırmalardan yazılım konsepti tasarımı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 / 0 / 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 20</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Tamamlanmış</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3</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 performans özelliklerinin sınırlı işlevsellikle doğrulanması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 / 0 / 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 / 20</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Tamamlanmış</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4</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Kritik bileşenlerin entegrasyonu ve işlevsel doğrulaması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 / 0 / 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 / 35</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Tamamlanmış</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5</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Benzetimli ortamda yazılım unsurlarının entegrasyonu, arayüzleri ve fiziki gösterimi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 / 4 / 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 / 40</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%87,5 (iş planında %88)</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Tamamlanmış</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6</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Prototipin tam ölçekteki gerçekçi problemlerle testi ve fiziki gösterimi (alfa sürüm)</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 / 4 / 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 / 25</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Tamamlanmamış; hedef Haziran 2027 (Kapı-1)</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7</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Prototipin gerçek (operasyonel) ortamda fiziki gösterimi (beta sürüm)</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 / 2 / 2</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 / 25</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Tamamlanmamış; hedef Aralık 2027 (Kapı-2)</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8</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Gerçek ortamda performans değerlendirmesi ve belgelendirme (v1.0)</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Puanlanmamıştır</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Puanlanmamıştır</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Hesaplanmamıştır</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 Haziran 2028 (Kapı-3)</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9</w:t>
            </w:r>
          </w:p>
        </w:tc>
        <w:tc>
          <w:tcPr>
            <w:tcW w:type="dxa" w:w="48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Gerçek ortamda başarıyla çalışan yazılım</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Puanlanmamıştır</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Puanlanmamıştır</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Hesaplanmamıştır</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sonrası</w:t>
            </w:r>
          </w:p>
        </w:tc>
      </w:tr>
    </w:tbl>
    <w:p>
      <w:pPr>
        <w:spacing w:after="60"/>
      </w:pPr>
    </w:p>
    <w:p>
      <w:pPr>
        <w:spacing w:after="100" w:before="40"/>
      </w:pPr>
      <w:r>
        <w:rPr>
          <w:rFonts w:ascii="Arial" w:cs="Arial" w:eastAsia="Arial" w:hAnsi="Arial"/>
          <w:i/>
          <w:iCs/>
          <w:color w:val="595959"/>
          <w:sz w:val="16"/>
          <w:szCs w:val="16"/>
        </w:rPr>
        <w:t xml:space="preserve">Not: Toplam 47 sorudur. Durum sütunu setin %80 kuralına göredir; hedef tarihler 4.3'teki kapılarla aynıdır.</w:t>
      </w:r>
    </w:p>
    <w:p>
      <w:pPr>
        <w:spacing w:after="90"/>
      </w:pPr>
      <w:r>
        <w:rPr>
          <w:rFonts w:ascii="Arial" w:cs="Arial" w:eastAsia="Arial" w:hAnsi="Arial"/>
          <w:sz w:val="18"/>
          <w:szCs w:val="18"/>
        </w:rPr>
        <w:t xml:space="preserve">Setin kuralı uyarınca projenin bugünkü seviyesi THS 5'tir: THS 1–5'in her biri %80 eşiğini geçmekte, THS 6 ise %76 ile geçmemektedir. İş planındaki %88 değeri, setin formülünün verdiği %87,5'in tam sayıya yuvarlanmış biçimidir (1.1, 3.1). Sistem düzeyindeki THS 5 sonucu, varış süresinin sahada doğrulandığı anlamına gelmez (B.9).</w:t>
      </w:r>
    </w:p>
    <w:p>
      <w:pPr>
        <w:pStyle w:val="Heading2"/>
        <w:keepNext/>
        <w:spacing w:after="80" w:before="180"/>
      </w:pPr>
      <w:r>
        <w:rPr>
          <w:rFonts w:ascii="Arial" w:cs="Arial" w:eastAsia="Arial" w:hAnsi="Arial"/>
          <w:b/>
          <w:bCs/>
          <w:i w:val="false"/>
          <w:iCs w:val="false"/>
          <w:color w:val="000000"/>
          <w:sz w:val="21"/>
          <w:szCs w:val="21"/>
        </w:rPr>
        <w:t xml:space="preserve">B.3.2 THS 1–4 soru puanları</w:t>
      </w:r>
    </w:p>
    <w:p>
      <w:pPr>
        <w:spacing w:after="90"/>
      </w:pPr>
      <w:r>
        <w:rPr>
          <w:rFonts w:ascii="Arial" w:cs="Arial" w:eastAsia="Arial" w:hAnsi="Arial"/>
          <w:sz w:val="18"/>
          <w:szCs w:val="18"/>
        </w:rPr>
        <w:t xml:space="preserve">THS 5'in kabulü için THS 1–4'ün de %80 ve üstünde olması gerektiğinden (B.2.3) bu seviyelerin soru puanları aşağıda özetlenmiştir.</w:t>
      </w:r>
    </w:p>
    <w:p>
      <w:pPr>
        <w:keepNext/>
        <w:spacing w:after="60" w:before="140"/>
      </w:pPr>
      <w:r>
        <w:rPr>
          <w:rFonts w:ascii="Arial" w:cs="Arial" w:eastAsia="Arial" w:hAnsi="Arial"/>
          <w:b/>
          <w:bCs/>
          <w:sz w:val="18"/>
          <w:szCs w:val="18"/>
        </w:rPr>
        <w:t xml:space="preserve">Tablo B-4. THS 1–4 soru puanları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4451"/>
        <w:gridCol w:w="890"/>
        <w:gridCol w:w="1335"/>
        <w:gridCol w:w="5490"/>
        <w:gridCol w:w="1782"/>
      </w:tblGrid>
      <w:tr>
        <w:trPr>
          <w:cantSplit/>
          <w:tblHeader/>
        </w:trPr>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Kriter (kısaltılmış)</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Puan</w:t>
            </w:r>
          </w:p>
        </w:tc>
        <w:tc>
          <w:tcPr>
            <w:tcW w:type="dxa" w:w="13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54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(kısa)</w:t>
            </w:r>
          </w:p>
        </w:tc>
        <w:tc>
          <w:tcPr>
            <w:tcW w:type="dxa" w:w="178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eki</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gereksinimleri genel hatlarıyla tanımlandı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Ürün gereksinimleri ve motosiklet rotalamasını otomobilden ayıran üç özellik (sıkışıklık tepkisi, sürüş moduna göre değişen fayda, motor sınıfına bağlı fiziksel kısıtlar) teknik raporda tanımlanmıştır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Temel özellikleri, matematiksel formülasyonu ve genel algoritmayı destekleyen bilimsel bilgiler elde edildi 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Kinematik dalga kuramı ve gözenekli akış; dönüş maliyetli en kısa yol ve hiyerarşiler; çok duraklı sıra için dinamik programlama</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Temel prensipler, bilimsel kurallar ve varsayımlar tanımlandı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Hız modelinin katmanları, sınırları ve varsayımları algoritma el kitabında tanımlanmıştır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Prensipler, kurallar ve varsayımlar gözlemlendi ve doğrulandı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Motosikletin sıkışıklıkta otomobilden hızlı ilerlediği Asqool vd. (2021) ve Ambarwati vd. (2014) saha verilerinde gözlenmiştir [K4, K5]; Türkiye'de MotoMap gözlemi bulunmamaktadır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S1.5</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Gözlem ve doğrulama sonucunda yazılım mimarisine ilişkin bilimsel bilgi geliştirildi 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Katmanlı mimari ve dönüş kısıtlı hiyerarşi seçimi ölçümlerle gerekçelendirilmiştir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Hedeflenen yazılımın potansiyel uygulamaları belirlendi 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Bireysel navigasyon, kurye sıralaması, filo lisansı ve uygulama programlama arayüzü (API) hizmeti (4.1)</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4.1</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Potansiyel uygulamaların yapılabilirliği doğrulandı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üç sürüş modu, kurye sırası ve yeniden planlama çalışan prototipte gösterilmiştir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Ek-J</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Algoritmaların ve yazılım konseptinin temel özellikleri tanımlandı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Teknik rapor ve algoritma el kitabı</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Yazılımın üzerinde çalışacağı donanım mevcut mu?</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Standart bulut sunucusu ve akıllı telefonlar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Ek-J</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Performans özellikleri ve algoritmalar temsili veri setleriyle ya da analitik çalışmalarla gerçeklendi 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çekirdeği 40/40, dönüş kısıtlı sürüm 30/30 sorguda referans algoritmayla aynı sonucu vermiştir; kurye sırası bütün sıralamaları deneyen referansla aynıdır; kontrollü sıkışıklık taraması yapılmıştır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Algoritmaların ana hatları dokümante edildi 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Algoritma el kitabı ve 120 sayfalık teknik rapor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İlk kodlamalar operasyonel gereksinimin karşılandığını gerçekliyor mu?</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ağında sorgu 0,017 ms, %95'lik dilim 0,26 ms (bütçe 50 ms)</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Algoritmaların temsili bir işlemcide çalıştığı gösterildi mi?</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Geliştirme bilgisayarında ve bulut sunucusunda ölçülmüştür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 formatlarının analizi tamamlandı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OpenStreetMap, canlı trafik akışı, sürüş kaydı ve mağaza ödeme kanıtı biçimleri çözümlenmiş ve kullanılmaktadır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Ek-M</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 modülün yazılım mimari modeliyle uyumu sağlandı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Katmanlı mimari; modüller aynı arayüz sözleşmesiyle çalışmaktadır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yapay tam ölçek problemlerini çözümlüyor ya da temsili veri setlerini tam işleyebiliyor mu?</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 testinde 11 bölgelik ağ (61.483 düğüm) kullanılmış, İstanbul geneli temel ağ (193.552 düğüm, 505.694 bağlantı) kurulmuştur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Tüm işlevlerin laboratuvar ortamında fiziki gösterimi yapıldı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üç sürüş modu, kurye sırası, yeniden planlama, yer araması ve sürüş kaydı uygulamadan sunucuya tam akışla test edilmiştir (Temmuz 2026)</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S4.5</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İşlevlerin geçici entegrasyonunun fiziki gösterimi yapıldı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 önbellek ve API test ortamında birlikte çalıştırılmıştır</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S4.6</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Entegre işlevlerin fonksiyonel doğrulaması yapıldı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Referans algoritmalı testler ve arayüz sözleşme testleri</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S4.7</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Mimarinin birlikte çalışabilirlik, güvenilirlik, sürdürülebilirlik, genişletilebilirlik, ölçeklenebilirlik ve güvenliği içerecek biçimde geliştirilmesine başlandı mı?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54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sağlayıcısı kesintisinde rota hesabı sürmektedir; ölçekleme bölge bazındadır; iç güvenlik incelemesi yapılmıştır; bağımsız sızma testi Mart 2027'de yapılacaktır (4.3)</w:t>
            </w:r>
          </w:p>
        </w:tc>
        <w:tc>
          <w:tcPr>
            <w:tcW w:type="dxa" w:w="178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Ek-I</w:t>
            </w:r>
          </w:p>
        </w:tc>
      </w:tr>
    </w:tbl>
    <w:p>
      <w:pPr>
        <w:spacing w:after="60"/>
      </w:pPr>
    </w:p>
    <w:p>
      <w:r>
        <w:br w:type="page"/>
      </w:r>
    </w:p>
    <w:p>
      <w:pPr>
        <w:pStyle w:val="Heading1"/>
        <w:keepNext/>
        <w:spacing w:after="100" w:before="260"/>
      </w:pPr>
      <w:r>
        <w:rPr>
          <w:rFonts w:ascii="Arial" w:cs="Arial" w:eastAsia="Arial" w:hAnsi="Arial"/>
          <w:b/>
          <w:bCs/>
          <w:i w:val="false"/>
          <w:iCs w:val="false"/>
          <w:color w:val="000000"/>
          <w:sz w:val="26"/>
          <w:szCs w:val="26"/>
        </w:rPr>
        <w:t xml:space="preserve">B.4 THS 5 ve THS 6 kriter matrisi</w:t>
      </w:r>
    </w:p>
    <w:p>
      <w:pPr>
        <w:spacing w:after="90"/>
      </w:pPr>
      <w:r>
        <w:rPr>
          <w:rFonts w:ascii="Arial" w:cs="Arial" w:eastAsia="Arial" w:hAnsi="Arial"/>
          <w:sz w:val="18"/>
          <w:szCs w:val="18"/>
        </w:rPr>
        <w:t xml:space="preserve">Tablo B-5 ve Tablo B-6, iş planındaki %88 ve %76 değerlerinin dayandığı soruları, puanları, kanıtları ve eksikleri göstermektedir. Kanıtlar 23.09.2026 durumunu yansıtır. “Eksik:” ile başlayan ifade, sorunun tam puan alması için kapanması gereken açığı gösterir; kapanış işleri Tablo B-10'dadır.</w:t>
      </w:r>
    </w:p>
    <w:p>
      <w:pPr>
        <w:pStyle w:val="Heading2"/>
        <w:keepNext/>
        <w:spacing w:after="80" w:before="180"/>
      </w:pPr>
      <w:r>
        <w:rPr>
          <w:rFonts w:ascii="Arial" w:cs="Arial" w:eastAsia="Arial" w:hAnsi="Arial"/>
          <w:b/>
          <w:bCs/>
          <w:i w:val="false"/>
          <w:iCs w:val="false"/>
          <w:color w:val="000000"/>
          <w:sz w:val="21"/>
          <w:szCs w:val="21"/>
        </w:rPr>
        <w:t xml:space="preserve">B.4.1 THS 5: Benzetimli ortamda entegrasyon ve gösterim</w:t>
      </w:r>
    </w:p>
    <w:p>
      <w:pPr>
        <w:keepNext/>
        <w:spacing w:after="60" w:before="140"/>
      </w:pPr>
      <w:r>
        <w:rPr>
          <w:rFonts w:ascii="Arial" w:cs="Arial" w:eastAsia="Arial" w:hAnsi="Arial"/>
          <w:b/>
          <w:bCs/>
          <w:sz w:val="18"/>
          <w:szCs w:val="18"/>
        </w:rPr>
        <w:t xml:space="preserve">Tablo B-5. THS 5 kriter matrisi (35/40; %87,5)</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3264"/>
        <w:gridCol w:w="1187"/>
        <w:gridCol w:w="741"/>
        <w:gridCol w:w="4599"/>
        <w:gridCol w:w="1187"/>
        <w:gridCol w:w="2970"/>
      </w:tblGrid>
      <w:tr>
        <w:trPr>
          <w:cantSplit/>
          <w:tblHeader/>
        </w:trPr>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Kriter (kısaltılmış)</w:t>
            </w:r>
          </w:p>
        </w:tc>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7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Puan</w:t>
            </w:r>
          </w:p>
        </w:tc>
        <w:tc>
          <w:tcPr>
            <w:tcW w:type="dxa" w:w="459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ve eksik</w:t>
            </w:r>
          </w:p>
        </w:tc>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eki</w:t>
            </w:r>
          </w:p>
        </w:tc>
        <w:tc>
          <w:tcPr>
            <w:tcW w:type="dxa" w:w="29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Depo dosyası</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S5.1</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 işlevin/modülün kodlaması tamamlandı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motoru, sunucu ve mobil uygulama çalışmaktadır. Eksik: Kurye operasyon paneli ve verim raporları geliştirilmemiştir.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 ve motomap-app kaynak kodu</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S5.2</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 işlevin/modülün hata ayıklaması yapıldı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Otomatik test paketleri her çekme isteğinde ve ana dala her gönderimde çalışmaktadır; açık hatalar kayıt altındadır. Eksik: Kritik hata listesi Mart 2027'ye kadar kapatılacaktır (4.3).</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motomap-engine/.github/workflows/ci.yml</w:t>
            </w:r>
          </w:p>
          <w:p>
            <w:pPr>
              <w:spacing w:after="30"/>
            </w:pPr>
            <w:r>
              <w:rPr>
                <w:rFonts w:ascii="Arial" w:cs="Arial" w:eastAsia="Arial" w:hAnsi="Arial"/>
                <w:sz w:val="17"/>
                <w:szCs w:val="17"/>
              </w:rPr>
              <w:t xml:space="preserve">motomap-app/.github/workflows/ci.yml</w:t>
            </w:r>
          </w:p>
          <w:p>
            <w:pPr>
              <w:spacing w:after="30"/>
            </w:pPr>
            <w:r>
              <w:rPr>
                <w:rFonts w:ascii="Arial" w:cs="Arial" w:eastAsia="Arial" w:hAnsi="Arial"/>
                <w:sz w:val="17"/>
                <w:szCs w:val="17"/>
              </w:rPr>
              <w:t xml:space="preserve">motomap-app/docs/yapilacaklar.md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S5.3</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unsurlarının benzetimli ortamla uyumlu mevcut sistemlerle arayüzleri geliştirildi mi?</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 (OpenStreetMap), canlı trafik (HERE), mağaza ödeme doğrulaması ve sürüş kaydı arayüzleri çalışmaktadır. Rızası bulunmayan sürüş kaydı sunucuda reddedilmektedir (21.07.2026 testi).</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Ek-I; Ek-M</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motomap-engine/docs/report/motomap-technical-report.pdf</w:t>
            </w:r>
          </w:p>
          <w:p>
            <w:pPr>
              <w:spacing w:after="30"/>
            </w:pPr>
            <w:r>
              <w:rPr>
                <w:rFonts w:ascii="Arial" w:cs="Arial" w:eastAsia="Arial" w:hAnsi="Arial"/>
                <w:sz w:val="17"/>
                <w:szCs w:val="17"/>
              </w:rPr>
              <w:t xml:space="preserve">motomap-engine/docs/reference/auth-and-billing-setup.md</w:t>
            </w:r>
          </w:p>
          <w:p>
            <w:pPr>
              <w:spacing w:after="30"/>
            </w:pPr>
            <w:r>
              <w:rPr>
                <w:rFonts w:ascii="Arial" w:cs="Arial" w:eastAsia="Arial" w:hAnsi="Arial"/>
                <w:sz w:val="17"/>
                <w:szCs w:val="17"/>
              </w:rPr>
              <w:t xml:space="preserve">motomap-engine/loadtest/RESULTS.md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S5.4</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İşlevlerin/modüllerin benzetimli ortamda entegrasyonunun fiziki gösterimi yapıldı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Navigasyon döngüsünün tamamı benzetimle çalıştırılmıştır; yük ve bütünleşik akış testleri yapılmıştır (21.07.2026, 04.09.2026, 06.09.2026).</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motomap-engine/loadtest/RESULTS.md</w:t>
            </w:r>
          </w:p>
          <w:p>
            <w:pPr>
              <w:spacing w:after="30"/>
            </w:pPr>
            <w:r>
              <w:rPr>
                <w:rFonts w:ascii="Arial" w:cs="Arial" w:eastAsia="Arial" w:hAnsi="Arial"/>
                <w:sz w:val="17"/>
                <w:szCs w:val="17"/>
              </w:rPr>
              <w:t xml:space="preserve">motomap-engine/loadtest/RESULTS-2026-09-04.md</w:t>
            </w:r>
          </w:p>
          <w:p>
            <w:pPr>
              <w:spacing w:after="30"/>
            </w:pPr>
            <w:r>
              <w:rPr>
                <w:rFonts w:ascii="Arial" w:cs="Arial" w:eastAsia="Arial" w:hAnsi="Arial"/>
                <w:sz w:val="17"/>
                <w:szCs w:val="17"/>
              </w:rPr>
              <w:t xml:space="preserve">motomap-engine/loadtest/RESULTS-2026-09-06-native.md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S5.5</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sisteminin öngörülen performansı gösterdiği doğrulandı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doğruluğu (40/40 ve 30/30 sorguda referansla aynı sonuç; Temmuz 2026) ve gecikme ölçülmüştür. Eksik: Varış süresi doğruluğu gerçek sürüşle ölçülmemiştir; doğrulama protokolü 10.08.2026'dan beri hazırdır. Serbest akış katmanı süreyi uzun kestirmektedir (İstanbul geneli ağda 15 koridorluk iç tanı taraması, 01.09.2026).</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motomap-engine/docs/release-notes/v0.7.1.md</w:t>
            </w:r>
          </w:p>
          <w:p>
            <w:pPr>
              <w:spacing w:after="30"/>
            </w:pPr>
            <w:r>
              <w:rPr>
                <w:rFonts w:ascii="Arial" w:cs="Arial" w:eastAsia="Arial" w:hAnsi="Arial"/>
                <w:sz w:val="17"/>
                <w:szCs w:val="17"/>
              </w:rPr>
              <w:t xml:space="preserve">motomap-engine/docs/reference/h2-accuracy-protocol.md</w:t>
            </w:r>
          </w:p>
          <w:p>
            <w:pPr>
              <w:spacing w:after="30"/>
            </w:pPr>
            <w:r>
              <w:rPr>
                <w:rFonts w:ascii="Arial" w:cs="Arial" w:eastAsia="Arial" w:hAnsi="Arial"/>
                <w:sz w:val="17"/>
                <w:szCs w:val="17"/>
              </w:rPr>
              <w:t xml:space="preserve">motomap-website/design-brief.md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S5.6</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Algoritmalar operasyonel ortama yerleştirilebilecek bir işlemcide çalıştırıldı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Kamuya açık bulut sunucusunda çalışmaktadır; Kadıköy canlı hizmeti bu sunucudan verilmektedir.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motomap-engine/docker-compose.prod.yml</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S5.7</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mimarisi tamamlandı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Katmanlı mimari belgelenmiştir. Eksik: Sistem tek sunucuda çalışmaktadır; yatay ölçekleme planlanmıştır.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motomap-engine/docs/architecture/system-layers-and-calibration.tr.md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S5.8</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 yapısı ve arayüzlerin yapısı tamamlandı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Veritabanı şeması ve API tamamlanmış ve belgelenmiştir.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motomap-engine/alembic (şema göç zinciri)</w:t>
            </w:r>
          </w:p>
          <w:p>
            <w:pPr>
              <w:spacing w:after="30"/>
            </w:pPr>
            <w:r>
              <w:rPr>
                <w:rFonts w:ascii="Arial" w:cs="Arial" w:eastAsia="Arial" w:hAnsi="Arial"/>
                <w:sz w:val="17"/>
                <w:szCs w:val="17"/>
              </w:rPr>
              <w:t xml:space="preserve">motomap-engine/api</w:t>
            </w:r>
          </w:p>
        </w:tc>
      </w:tr>
    </w:tbl>
    <w:p>
      <w:pPr>
        <w:spacing w:after="60"/>
      </w:pPr>
    </w:p>
    <w:p>
      <w:pPr>
        <w:pStyle w:val="Heading2"/>
        <w:keepNext/>
        <w:spacing w:after="80" w:before="180"/>
      </w:pPr>
      <w:r>
        <w:rPr>
          <w:rFonts w:ascii="Arial" w:cs="Arial" w:eastAsia="Arial" w:hAnsi="Arial"/>
          <w:b/>
          <w:bCs/>
          <w:i w:val="false"/>
          <w:iCs w:val="false"/>
          <w:color w:val="000000"/>
          <w:sz w:val="21"/>
          <w:szCs w:val="21"/>
        </w:rPr>
        <w:t xml:space="preserve">B.4.2 THS 6: Tam ölçekteki gerçekçi problemlerle test ve gösterim</w:t>
      </w:r>
    </w:p>
    <w:p>
      <w:pPr>
        <w:keepNext/>
        <w:spacing w:after="60" w:before="140"/>
      </w:pPr>
      <w:r>
        <w:rPr>
          <w:rFonts w:ascii="Arial" w:cs="Arial" w:eastAsia="Arial" w:hAnsi="Arial"/>
          <w:b/>
          <w:bCs/>
          <w:sz w:val="18"/>
          <w:szCs w:val="18"/>
        </w:rPr>
        <w:t xml:space="preserve">Tablo B-6. THS 6 kriter matrisi (19/25; %76)</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3264"/>
        <w:gridCol w:w="1187"/>
        <w:gridCol w:w="741"/>
        <w:gridCol w:w="4599"/>
        <w:gridCol w:w="1187"/>
        <w:gridCol w:w="2970"/>
      </w:tblGrid>
      <w:tr>
        <w:trPr>
          <w:cantSplit/>
          <w:tblHeader/>
        </w:trPr>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Kriter (kısaltılmış)</w:t>
            </w:r>
          </w:p>
        </w:tc>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7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Puan</w:t>
            </w:r>
          </w:p>
        </w:tc>
        <w:tc>
          <w:tcPr>
            <w:tcW w:type="dxa" w:w="459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ve eksik</w:t>
            </w:r>
          </w:p>
        </w:tc>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eki</w:t>
            </w:r>
          </w:p>
        </w:tc>
        <w:tc>
          <w:tcPr>
            <w:tcW w:type="dxa" w:w="29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Depo dosyası</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S6.1</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Prototip uygulamaların tam ölçekteki gerçekçi problemler üzerinde fiziki gösterimi yapıldı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hizmet Kadıköy'ü kapsamaktadır. İstanbul geneli temel ağ kurulmuş (193.552 düğüm, 505.694 bağlantı; 01.09.2026), 15 koridorda rota hesaplanmıştır. Eksik: İstanbul geneli dönüş kısıtlı hiyerarşide referans eşitliği ve gecikme ölçülmemiştir; doğrulama protokolüyle ölçülmüş gerçek sürüş bulunmamaktadır.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motomap-website/design-brief.md</w:t>
            </w:r>
          </w:p>
          <w:p>
            <w:pPr>
              <w:spacing w:after="30"/>
            </w:pPr>
            <w:r>
              <w:rPr>
                <w:rFonts w:ascii="Arial" w:cs="Arial" w:eastAsia="Arial" w:hAnsi="Arial"/>
                <w:sz w:val="17"/>
                <w:szCs w:val="17"/>
              </w:rPr>
              <w:t xml:space="preserve">motomap-engine/docs/reference/h2-accuracy-protocol.md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S6.2</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algoritmaları mevcut donanım/yazılım sistemleriyle entegre edildi mi?</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 canlı trafik, harita ve mağaza ödeme doğrulaması entegre edilmiştir. Eksik: Uygulama App Store ve Google Play'de yayımlanmamıştır; mağaza yayını Haziran 2027 için planlanmıştır (4.3).</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Ek-J; Ek-M</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motomap-app/docs/app-store-readiness.md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S6.3</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Prototipin mühendislik fizibilite analizi tamamlanarak fizibilitesinin fiziki gösterimi yapıldı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 testleri yapılmış (21.07.2026, 04.09.2026, 06.09.2026), birim maliyet modeli hazırlanmıştır (2.4). Eksik: İstanbul ölçeğinde gösterim yapılmamıştır.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Ek-D</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motomap-engine/loadtest/RESULTS-2026-09-04.md</w:t>
            </w:r>
          </w:p>
          <w:p>
            <w:pPr>
              <w:spacing w:after="30"/>
            </w:pPr>
            <w:r>
              <w:rPr>
                <w:rFonts w:ascii="Arial" w:cs="Arial" w:eastAsia="Arial" w:hAnsi="Arial"/>
                <w:sz w:val="17"/>
                <w:szCs w:val="17"/>
              </w:rPr>
              <w:t xml:space="preserve">motomap-engine/loadtest/RESULTS-2026-09-06-native.md</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S6.4</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geliştirme belgeleri (kullanıcı, bakım, eğitim) hazırlanmaya başlandı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Teknik rapor (İngilizce, 120 sayfa, Temmuz 2026), algoritma el kitabı ve kod tanıtım belgeleri hazırlanmıştır. Belgelerin tamamlanması THS 8 kapsamındadır (S8.3).</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 Ek-J</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motomap-engine/docs/report/motomap-technical-report.pdf</w:t>
            </w:r>
          </w:p>
          <w:p>
            <w:pPr>
              <w:spacing w:after="30"/>
            </w:pPr>
            <w:r>
              <w:rPr>
                <w:rFonts w:ascii="Arial" w:cs="Arial" w:eastAsia="Arial" w:hAnsi="Arial"/>
                <w:sz w:val="17"/>
                <w:szCs w:val="17"/>
              </w:rPr>
              <w:t xml:space="preserve">motomap-engine/docs/handbook/motomap_algoritma_el_kitabi.pdf</w:t>
            </w:r>
          </w:p>
          <w:p>
            <w:pPr>
              <w:spacing w:after="30"/>
            </w:pPr>
            <w:r>
              <w:rPr>
                <w:rFonts w:ascii="Arial" w:cs="Arial" w:eastAsia="Arial" w:hAnsi="Arial"/>
                <w:sz w:val="17"/>
                <w:szCs w:val="17"/>
              </w:rPr>
              <w:t xml:space="preserve">motomap-engine/docs/handbook/motomap_kod_turu.pdf</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S6.5</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Zamanlama kısıtlarının analizi tatmin edici sonuçlarla tamamlandı mı?</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7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ağında medyan yanıt tek kullanıcıda 39 ms, 100 eşzamanlı kullanıcıda 2,5 saniyedir (07.09.2026). Süreç yeniden başlatıldıktan sonraki ilk istek yaklaşık 8 saniye sürmektedir (06.09.2026). Eksik: 100 eşzamanlı kullanıcıdaki yanıt 1 saniyelik hedefin üzerindedir (Tablo B-10); İstanbul geneli ağda gecikme ölçülmemiştir.</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Ek-A</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motomap-engine/docker-compose.prod.yml (07.09.2026 ölçüm notu)</w:t>
            </w:r>
          </w:p>
          <w:p>
            <w:pPr>
              <w:spacing w:after="30"/>
            </w:pPr>
            <w:r>
              <w:rPr>
                <w:rFonts w:ascii="Arial" w:cs="Arial" w:eastAsia="Arial" w:hAnsi="Arial"/>
                <w:sz w:val="17"/>
                <w:szCs w:val="17"/>
              </w:rPr>
              <w:t xml:space="preserve">motomap-engine/loadtest/RESULTS-2026-09-06-native.md</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B.5 THS 5 ve THS 6 hesabı</w:t>
      </w:r>
    </w:p>
    <w:p>
      <w:pPr>
        <w:keepNext/>
        <w:spacing w:after="60" w:before="140"/>
      </w:pPr>
      <w:r>
        <w:rPr>
          <w:rFonts w:ascii="Arial" w:cs="Arial" w:eastAsia="Arial" w:hAnsi="Arial"/>
          <w:b/>
          <w:bCs/>
          <w:sz w:val="18"/>
          <w:szCs w:val="18"/>
        </w:rPr>
        <w:t xml:space="preserve">Tablo B-7. THS 5 ve THS 6 ortalama tamamlanma hesabı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3264"/>
        <w:gridCol w:w="4154"/>
        <w:gridCol w:w="1483"/>
        <w:gridCol w:w="1780"/>
        <w:gridCol w:w="2970"/>
      </w:tblGrid>
      <w:tr>
        <w:trPr>
          <w:cantSplit/>
          <w:tblHeader/>
        </w:trPr>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Seviye</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 puanları (setteki sırayla)</w:t>
            </w:r>
          </w:p>
        </w:tc>
        <w:tc>
          <w:tcPr>
            <w:tcW w:type="dxa" w:w="41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Setteki yüzde karşılıkları</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Toplam puan</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Ortalama tamamlanma</w:t>
            </w:r>
          </w:p>
        </w:tc>
        <w:tc>
          <w:tcPr>
            <w:tcW w:type="dxa" w:w="29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 (eşik %80 ve üstü)</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5</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4, 4, 5, 5, 3, 5, 4, 5</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%80, %80, %100, %100, %60, %100, %80, %100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 / 40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%87,5</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Tamamlanmış</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6</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3, 4, 4, 5, 3</w:t>
            </w:r>
          </w:p>
        </w:tc>
        <w:tc>
          <w:tcPr>
            <w:tcW w:type="dxa" w:w="41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 %80, %80, %100, %60</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 / 25</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%76</w:t>
            </w:r>
          </w:p>
        </w:tc>
        <w:tc>
          <w:tcPr>
            <w:tcW w:type="dxa" w:w="2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Tamamlanmamış</w:t>
            </w:r>
          </w:p>
        </w:tc>
      </w:tr>
    </w:tbl>
    <w:p>
      <w:pPr>
        <w:spacing w:after="60"/>
      </w:pPr>
    </w:p>
    <w:p>
      <w:pPr>
        <w:spacing w:after="90"/>
      </w:pPr>
      <w:r>
        <w:rPr>
          <w:rFonts w:ascii="Arial" w:cs="Arial" w:eastAsia="Arial" w:hAnsi="Arial"/>
          <w:sz w:val="18"/>
          <w:szCs w:val="18"/>
        </w:rPr>
        <w:t xml:space="preserve">THS 5 için hesap şöyledir:</w:t>
      </w:r>
    </w:p>
    <w:p>
      <w:pPr>
        <w:spacing w:after="90"/>
      </w:pPr>
      <w:r>
        <w:rPr>
          <w:rFonts w:ascii="Arial" w:cs="Arial" w:eastAsia="Arial" w:hAnsi="Arial"/>
          <w:sz w:val="18"/>
          <w:szCs w:val="18"/>
        </w:rPr>
        <w:t xml:space="preserve">(4 + 4 + 5 + 5 + 3 + 5 + 4 + 5) / (5 × 8) × 100 = 35 / 40 × 100 = %87,5</w:t>
      </w:r>
    </w:p>
    <w:p>
      <w:pPr>
        <w:spacing w:after="90"/>
      </w:pPr>
      <w:r>
        <w:rPr>
          <w:rFonts w:ascii="Arial" w:cs="Arial" w:eastAsia="Arial" w:hAnsi="Arial"/>
          <w:sz w:val="18"/>
          <w:szCs w:val="18"/>
        </w:rPr>
        <w:t xml:space="preserve">Setin dosyasındaki yol aynı sonucu verir: (80 + 80 + 100 + 100 + 60 + 100 + 80 + 100) / 8 = 87,5. İş planının 1.1 ve 3.1 alanlarındaki %88, bu değerin tam sayıya yuvarlanmış biçimidir. Eşik karşılaştırmasında yuvarlanmamış değer (%87,5) kullanılmıştır; değer %80'in üstünde olduğundan THS 5 tamamlanmıştır.</w:t>
      </w:r>
    </w:p>
    <w:p>
      <w:pPr>
        <w:spacing w:after="90"/>
      </w:pPr>
      <w:r>
        <w:rPr>
          <w:rFonts w:ascii="Arial" w:cs="Arial" w:eastAsia="Arial" w:hAnsi="Arial"/>
          <w:sz w:val="18"/>
          <w:szCs w:val="18"/>
        </w:rPr>
        <w:t xml:space="preserve">THS 6 için hesap şöyledir:</w:t>
      </w:r>
    </w:p>
    <w:p>
      <w:pPr>
        <w:spacing w:after="90"/>
      </w:pPr>
      <w:r>
        <w:rPr>
          <w:rFonts w:ascii="Arial" w:cs="Arial" w:eastAsia="Arial" w:hAnsi="Arial"/>
          <w:sz w:val="18"/>
          <w:szCs w:val="18"/>
        </w:rPr>
        <w:t xml:space="preserve">(3 + 4 + 4 + 5 + 3) / (5 × 5) × 100 = 19 / 25 × 100 = %76</w:t>
      </w:r>
    </w:p>
    <w:p>
      <w:pPr>
        <w:spacing w:after="90"/>
      </w:pPr>
      <w:r>
        <w:rPr>
          <w:rFonts w:ascii="Arial" w:cs="Arial" w:eastAsia="Arial" w:hAnsi="Arial"/>
          <w:sz w:val="18"/>
          <w:szCs w:val="18"/>
        </w:rPr>
        <w:t xml:space="preserve">Setin dosyasındaki yolla sonuç aynıdır: (60 + 80 + 80 + 100 + 60) / 5 = 76. Değer %80'in altında kaldığından THS 6 tamamlanmamıştır. Eşiğe ulaşmak için 25 puan üzerinden en az 20 puan gerekir; bugünkü açık 1 puandır. Ortalamayı en çok düşüren sorular 3 puanla S6.1 (tam ölçekte gösterim) ve S6.5 (zamanlama kısıtları), ardından 4 puanla S6.2 (entegrasyon) ve S6.3 (mühendislik fizibilitesi) sorularıdır.</w:t>
      </w:r>
    </w:p>
    <w:p>
      <w:pPr>
        <w:pStyle w:val="Heading1"/>
        <w:keepNext/>
        <w:spacing w:after="100" w:before="260"/>
      </w:pPr>
      <w:r>
        <w:rPr>
          <w:rFonts w:ascii="Arial" w:cs="Arial" w:eastAsia="Arial" w:hAnsi="Arial"/>
          <w:b/>
          <w:bCs/>
          <w:i w:val="false"/>
          <w:iCs w:val="false"/>
          <w:color w:val="000000"/>
          <w:sz w:val="26"/>
          <w:szCs w:val="26"/>
        </w:rPr>
        <w:t xml:space="preserve">B.6 THS 7 ve THS 8 kısa görünüm</w:t>
      </w:r>
    </w:p>
    <w:p>
      <w:pPr>
        <w:spacing w:after="90"/>
      </w:pPr>
      <w:r>
        <w:rPr>
          <w:rFonts w:ascii="Arial" w:cs="Arial" w:eastAsia="Arial" w:hAnsi="Arial"/>
          <w:sz w:val="18"/>
          <w:szCs w:val="18"/>
        </w:rPr>
        <w:t xml:space="preserve">THS 7 ve THS 8, setin formülünde THS 6 tamamlanmadan sonuca etki etmez. Aşağıdaki görünüm, bu seviyelerin 4.3'teki kapılarla ilişkisini göstermek amacıyla verilmiştir.</w:t>
      </w:r>
    </w:p>
    <w:p>
      <w:pPr>
        <w:keepNext/>
        <w:spacing w:after="60" w:before="140"/>
      </w:pPr>
      <w:r>
        <w:rPr>
          <w:rFonts w:ascii="Arial" w:cs="Arial" w:eastAsia="Arial" w:hAnsi="Arial"/>
          <w:b/>
          <w:bCs/>
          <w:sz w:val="18"/>
          <w:szCs w:val="18"/>
        </w:rPr>
        <w:t xml:space="preserve">Tablo B-8. THS 7 soru puanları (15/25; %60)</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4451"/>
        <w:gridCol w:w="1483"/>
        <w:gridCol w:w="890"/>
        <w:gridCol w:w="7124"/>
      </w:tblGrid>
      <w:tr>
        <w:trPr>
          <w:cantSplit/>
          <w:tblHeader/>
        </w:trPr>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Kriter (kısaltılmış)</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Puan</w:t>
            </w:r>
          </w:p>
        </w:tc>
        <w:tc>
          <w:tcPr>
            <w:tcW w:type="dxa" w:w="712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ve eksik</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Prototip, gösterim ve test için gereken tüm kilit işlevlere sahip mi?</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71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üç sürüş modu, kurye sırası, yeniden planlama, sürüş kaydı ve ödeme işlevleri bulunmaktadır; kurye operasyon paneli geliştirilmemiştir</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Operasyonel fizibiliteyi gösteren sistemlerin entegrasyonu başarıyla yapıldı mı?</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Sağlanmadı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71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mağazada yayımlanmamıştır; gerçek kullanıcı bulunmamaktadır</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hataları büyük oranda düzeltildi mi?</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Kısmen</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71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Laboratuvar ve yük testlerinde bulunan hatalar giderilmiştir; kritik hata listesi ve sızma testinin yüksek düzeyli bulguları Mart 2027'ye kadar kapatılacaktır (4.3)</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geliştirme belgeleri kısmen hazırlandı mı?</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Sağlandı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71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Teknik rapor, algoritma el kitabı, kod tanıtım belgeleri ve doğrulama protokolü hazırlanmıştır</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S7.5</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Entegre prototipin gerçek (operasyonel) ortamda fiziki gösterimi yapıldı mı?</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Sağlanmadı</w:t>
            </w:r>
          </w:p>
        </w:tc>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71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Doğrulama protokolüyle ölçülmüş gerçek sürüş bulunmamaktadır</w:t>
            </w:r>
          </w:p>
        </w:tc>
      </w:tr>
    </w:tbl>
    <w:p>
      <w:pPr>
        <w:spacing w:after="60"/>
      </w:pPr>
    </w:p>
    <w:p>
      <w:pPr>
        <w:spacing w:after="90"/>
      </w:pPr>
      <w:r>
        <w:rPr>
          <w:rFonts w:ascii="Arial" w:cs="Arial" w:eastAsia="Arial" w:hAnsi="Arial"/>
          <w:sz w:val="18"/>
          <w:szCs w:val="18"/>
        </w:rPr>
        <w:t xml:space="preserve">THS 7'nin kabulü 4.3'te Kapı-2'ye (Aralık 2027) bağlanmıştır: 360 sürüş ve ortalama mutlak yüzde hata ≤%18. Bu seviyenin sorularını ilerletecek 4.3 işleri şunlardır: en küçük işlevsel ürün (MVP) ve sınırlı yayın (soft launch) ile mağaza yayını (Haziran 2027), 20 kurye ile 8 haftalık ölçüm pilotu ve imzalı pilot raporu (Haziran 2027; Ek-K), İstanbul saha kalibrasyonu ve 200 rotada sıfır yasak yol ya da dönüş ihlali (Eylül 2027).</w:t>
      </w:r>
    </w:p>
    <w:p>
      <w:pPr>
        <w:keepNext/>
        <w:spacing w:after="60" w:before="140"/>
      </w:pPr>
      <w:r>
        <w:rPr>
          <w:rFonts w:ascii="Arial" w:cs="Arial" w:eastAsia="Arial" w:hAnsi="Arial"/>
          <w:b/>
          <w:bCs/>
          <w:sz w:val="18"/>
          <w:szCs w:val="18"/>
        </w:rPr>
        <w:t xml:space="preserve">Tablo B-9. THS 8 soruları ve planlanan kanıt (puanlanmamıştır)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0"/>
        <w:gridCol w:w="4451"/>
        <w:gridCol w:w="6825"/>
        <w:gridCol w:w="2672"/>
      </w:tblGrid>
      <w:tr>
        <w:trPr>
          <w:cantSplit/>
          <w:tblHeader/>
        </w:trPr>
        <w:tc>
          <w:tcPr>
            <w:tcW w:type="dxa" w:w="8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Kriter (kısaltılmış)</w:t>
            </w:r>
          </w:p>
        </w:tc>
        <w:tc>
          <w:tcPr>
            <w:tcW w:type="dxa" w:w="68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Planlanan kanıt</w:t>
            </w:r>
          </w:p>
        </w:tc>
        <w:tc>
          <w:tcPr>
            <w:tcW w:type="dxa" w:w="267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operasyonel donanım ve yazılım sistemleriyle tam olarak entegre edildi mi?</w:t>
            </w:r>
          </w:p>
        </w:tc>
        <w:tc>
          <w:tcPr>
            <w:tcW w:type="dxa" w:w="68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İzmir ve Antalya'da bölgesel varış süresi verisinin toplanması ve model performansının raporlanması; ticarileşmeye hazır ürün sürümü (4.3)</w:t>
            </w:r>
          </w:p>
        </w:tc>
        <w:tc>
          <w:tcPr>
            <w:tcW w:type="dxa" w:w="26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2028; Haziran 2028</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hatalarının tamamı ayıklandı mı?</w:t>
            </w:r>
          </w:p>
        </w:tc>
        <w:tc>
          <w:tcPr>
            <w:tcW w:type="dxa" w:w="68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Sızma testinde yüksek bulgu 0; ürün sürümünde kritik açık hata 0 (4.3)</w:t>
            </w:r>
          </w:p>
        </w:tc>
        <w:tc>
          <w:tcPr>
            <w:tcW w:type="dxa" w:w="26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Haziran 2028</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Yazılım geliştirme belgeleri tamamlandı mı?</w:t>
            </w:r>
          </w:p>
        </w:tc>
        <w:tc>
          <w:tcPr>
            <w:tcW w:type="dxa" w:w="68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Kullanıcı, bakım ve eğitim belgeleri (kurye eğitimi dahil)</w:t>
            </w:r>
          </w:p>
        </w:tc>
        <w:tc>
          <w:tcPr>
            <w:tcW w:type="dxa" w:w="26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Tüm işlevlerin benzetimli operasyonel senaryolarda başarılı fiziki gösterimi yapıldı mı?</w:t>
            </w:r>
          </w:p>
        </w:tc>
        <w:tc>
          <w:tcPr>
            <w:tcW w:type="dxa" w:w="68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Yeniden planlama, sağlayıcı kesintisi, çok duraklı tur ve yüksek yük senaryolarını içeren test paketi</w:t>
            </w:r>
          </w:p>
        </w:tc>
        <w:tc>
          <w:tcPr>
            <w:tcW w:type="dxa" w:w="26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w:t>
            </w:r>
          </w:p>
        </w:tc>
      </w:tr>
      <w:tr>
        <w:trPr>
          <w:cantSplit/>
          <w:tblHeader w:val="off"/>
        </w:trPr>
        <w:tc>
          <w:tcPr>
            <w:tcW w:type="dxa" w:w="8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S8.5</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Metodoloji ve yazılımın gerçekleme ve doğrulaması (V&amp;V) tamamlandı mı?</w:t>
            </w:r>
          </w:p>
        </w:tc>
        <w:tc>
          <w:tcPr>
            <w:tcW w:type="dxa" w:w="68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raporu: İstanbul, İzmir ve Antalya'da toplam 1.000 sürüş; ortalama mutlak yüzde hata ≤%15 (2.2, 4.3)</w:t>
            </w:r>
          </w:p>
        </w:tc>
        <w:tc>
          <w:tcPr>
            <w:tcW w:type="dxa" w:w="26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w:t>
            </w:r>
          </w:p>
        </w:tc>
      </w:tr>
    </w:tbl>
    <w:p>
      <w:pPr>
        <w:spacing w:after="60"/>
      </w:pPr>
    </w:p>
    <w:p>
      <w:pPr>
        <w:spacing w:after="90"/>
      </w:pPr>
      <w:r>
        <w:rPr>
          <w:rFonts w:ascii="Arial" w:cs="Arial" w:eastAsia="Arial" w:hAnsi="Arial"/>
          <w:sz w:val="18"/>
          <w:szCs w:val="18"/>
        </w:rPr>
        <w:t xml:space="preserve">THS 8'in kabulü 4.3'te Kapı-3'e (Haziran 2028) bağlanmıştır. Kapı-3 ölçütleri teknik koşulların yanında en az 70 ödeme yapan kullanıcıyı, en az 30 kuryeyi ve en az bir kurumsal filo ya da API pilotunun başlatılmasını içermektedir. THS 8 soruları proje sonunda puanlanacak, sonuç İş Planı Sonuç Raporu (AGY352) ile bildirilecektir [K3]. THS 9, ticarileşme döneminin ilk yılında (Temmuz 2028–Haziran 2029) işletme kayıtlarıyla değerlendirilecektir; iş planında THS 9 için tarih taahhüdü bulunmamaktadır.</w:t>
      </w:r>
    </w:p>
    <w:p>
      <w:r>
        <w:br w:type="page"/>
      </w:r>
    </w:p>
    <w:p>
      <w:pPr>
        <w:pStyle w:val="Heading1"/>
        <w:keepNext/>
        <w:spacing w:after="100" w:before="260"/>
      </w:pPr>
      <w:r>
        <w:rPr>
          <w:rFonts w:ascii="Arial" w:cs="Arial" w:eastAsia="Arial" w:hAnsi="Arial"/>
          <w:b/>
          <w:bCs/>
          <w:i w:val="false"/>
          <w:iCs w:val="false"/>
          <w:color w:val="000000"/>
          <w:sz w:val="26"/>
          <w:szCs w:val="26"/>
        </w:rPr>
        <w:t xml:space="preserve">B.7 THS 6'yı tamamlamak için kalan işler</w:t>
      </w:r>
    </w:p>
    <w:p>
      <w:pPr>
        <w:spacing w:after="90"/>
      </w:pPr>
      <w:r>
        <w:rPr>
          <w:rFonts w:ascii="Arial" w:cs="Arial" w:eastAsia="Arial" w:hAnsi="Arial"/>
          <w:sz w:val="18"/>
          <w:szCs w:val="18"/>
        </w:rPr>
        <w:t xml:space="preserve">Tablo B-10, THS 6 sorularındaki açıkları kapatacak işleri, kanıt belgelerini, sorumlu rolleri ve hedef tarihleri göstermektedir. Sorumlu roller 3.3'teki iş bölümüne göredir. Hedef tarihler 4.3'teki kilometre taşlarıyla aynıdır; 4.3'te ayrı satırı bulunmayan 3. ve 4. satırlar için Kapı-1 tarihi en geç tarih olarak yazılmış, 5. satırın tarihi 2.4'ten, 6. satırın tarihi 1.7 ve 5.1'den alınmıştır.</w:t>
      </w:r>
    </w:p>
    <w:p>
      <w:pPr>
        <w:keepNext/>
        <w:spacing w:after="60" w:before="140"/>
      </w:pPr>
      <w:r>
        <w:rPr>
          <w:rFonts w:ascii="Arial" w:cs="Arial" w:eastAsia="Arial" w:hAnsi="Arial"/>
          <w:b/>
          <w:bCs/>
          <w:sz w:val="18"/>
          <w:szCs w:val="18"/>
        </w:rPr>
        <w:t xml:space="preserve">Tablo B-10. THS 6 için kalan işler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3"/>
        <w:gridCol w:w="4451"/>
        <w:gridCol w:w="1780"/>
        <w:gridCol w:w="2967"/>
        <w:gridCol w:w="2967"/>
        <w:gridCol w:w="2080"/>
      </w:tblGrid>
      <w:tr>
        <w:trPr>
          <w:cantSplit/>
          <w:tblHeader/>
        </w:trPr>
        <w:tc>
          <w:tcPr>
            <w:tcW w:type="dxa" w:w="59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Eksik kriter</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Kanıt belgesi</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Sorumlu rol</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Hedef tarih</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onayı; 6698 sayılı Kişisel Verilerin Korunması Kanunu (KVKK) kapsamındaki aydınlatma ve onam paketi; bağımsız sızma testi</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S6.1 (araştırma amaçlı sürüş verisi toplamanın ön koşulu); S6.2 (açık yayının ön koşulu, 2.7)</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Etik kurul kararı; KVKK ve onam belgeleri; yüksek bulgusu 0 olan sızma testi raporu (bugünkü taslak ve plan: Ek-I)</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Genel Müdür (CEO): hukuk ve KVKK koordinasyonu; CTO: siber güvenlik</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(Ay 3; 4.3)</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Mevcut prototipin ürünleştirilmesi, kritik hata listesinin kapatılması ve kapalı beta</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S6.2</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Kapatılmış kritik hata listesi; kapalı beta sürüm kaydı (bugünkü liste: Ek-J)</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 (Ay 3; 4.3)</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dönüş kısıtlı hiyerarşide 1.000 rastgele başlangıç–varış çiftinde referans algoritmayla eşitlik testi</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S6.1</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 raporu (bugünkü Kadıköy sonuçları: Ek-A)</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kurucu ortak (ulaştırma ve algoritma)</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geç Haziran 2027</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ağda gecikme ve yük ölçümü. Hedefler: çekirdek sorguda %95'lik dilim 50 ms'nin, hizmet katmanı dahil yanıtta %95'lik dilim 300 ms'nin, 100 eşzamanlı kullanıcıda yanıt 1 saniyenin altında</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S6.5; S6.3</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 testi raporu (bugünkü Kadıköy sonuçları: Ek-A)</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geç Haziran 2027</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Sağlayıcı faturalarının, API çağrı sayılarının ve kullanıcı başına teknik maliyetlerin aylık izlenmesi; birim maliyetlerin gerçekleşen kullanım verileriyle güncellenmesi</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S6.3</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Güncellenmiş birim maliyet tablosu (bugünkü model: Ek-D)</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CEO</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2027'den (Ay 3) itibaren aylık</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Serbest akış katmanının ve motosiklet hız farkının saha kalibrasyonu</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S6.1</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Kalibrasyon raporu (bugünkü durum: Ek-A)</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 ortak (ulaştırma ve algoritma); CTO</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1–6 (Ocak–Haziran 2027)</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Tabakalı doğruluk protokolüyle en az 300 sürüş ve Doğruluk Raporu 1; ortalama mutlak yüzde hata ≤%25; yazılı devam/iyileştirme kararı (Kapı-1)</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S6.1 (4.3'teki ana ölçüt)</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Raporu 1; yazılı Kapı-1 kararı; AGY312 (protokol: motomap-engine/docs/reference/h2-accuracy-protocol.md)</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doğrulama altyapısı; kurucu ortak: sonuç analizi; akademik danışman: doğrulama yaklaşımı; CEO: TÜBİTAK raporlaması</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(Ay 6; 4.3)</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MVP ve sınırlı yayın: App Store ve Google Play'de yayın</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S6.2</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Mağaza kayıtları ve sürüm notları (bugünkü durum: Ek-J)</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mağaza yayını; CEO: pazara çıkış</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(Ay 6; 4.3)</w:t>
            </w:r>
          </w:p>
        </w:tc>
      </w:tr>
      <w:tr>
        <w:trPr>
          <w:cantSplit/>
          <w:tblHeader w:val="off"/>
        </w:trPr>
        <w:tc>
          <w:tcPr>
            <w:tcW w:type="dxa" w:w="5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6 sorularının aynı setle yeniden puanlanması ve sonucun bildirilmesi</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S6.1–S6.5</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Güncellenmiş Ek-B matrisi; AGY312</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CTO: öz değerlendirme; CEO: TÜBİTAK raporlaması</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Kapı-1'den sonraki ilk AGY312</w:t>
            </w:r>
          </w:p>
        </w:tc>
      </w:tr>
    </w:tbl>
    <w:p>
      <w:pPr>
        <w:spacing w:after="60"/>
      </w:pPr>
    </w:p>
    <w:p>
      <w:pPr>
        <w:spacing w:after="100" w:before="40"/>
      </w:pPr>
      <w:r>
        <w:rPr>
          <w:rFonts w:ascii="Arial" w:cs="Arial" w:eastAsia="Arial" w:hAnsi="Arial"/>
          <w:i/>
          <w:iCs/>
          <w:color w:val="595959"/>
          <w:sz w:val="16"/>
          <w:szCs w:val="16"/>
        </w:rPr>
        <w:t xml:space="preserve">Not: Kanıt belgeleri proje içinde üretilecek ve AGY312 ile sunulacaktır; parantez içindeki ek, bugünkü taslağı ya da ölçümü gösterir. Tablonun 3. ve 4. satırındaki ölçütler MotoMap'in THS 6 için tanımladığı teknik kabul ölçütleridir; 4.3'teki ana ölçüt 7. satırdadır.</w:t>
      </w:r>
    </w:p>
    <w:p>
      <w:pPr>
        <w:spacing w:after="90"/>
      </w:pPr>
      <w:r>
        <w:rPr>
          <w:rFonts w:ascii="Arial" w:cs="Arial" w:eastAsia="Arial" w:hAnsi="Arial"/>
          <w:sz w:val="18"/>
          <w:szCs w:val="18"/>
        </w:rPr>
        <w:t xml:space="preserve">Setin hesabında THS 6'nın %80'e ulaşması için 1 puan yeterlidir. Örneğin 3. ve 4. satırdaki işler S6.1 ve S6.5'i 3'ten 4'e çıkarırsa toplam 21/25, ortalama %84 olur. MotoMap buna karşın THS 6'yı B.2.3'teki ihtiyat kuralı uyarınca yalnız 7. satırdaki Kapı-1 ölçütü sağlandığında beyan edecektir. Puanlar kanıt belgeleri hazırlandıktan sonra yeniden verilecektir.</w:t>
      </w:r>
    </w:p>
    <w:p>
      <w:pPr>
        <w:pStyle w:val="Heading1"/>
        <w:keepNext/>
        <w:spacing w:after="100" w:before="260"/>
      </w:pPr>
      <w:r>
        <w:rPr>
          <w:rFonts w:ascii="Arial" w:cs="Arial" w:eastAsia="Arial" w:hAnsi="Arial"/>
          <w:b/>
          <w:bCs/>
          <w:i w:val="false"/>
          <w:iCs w:val="false"/>
          <w:color w:val="000000"/>
          <w:sz w:val="26"/>
          <w:szCs w:val="26"/>
        </w:rPr>
        <w:t xml:space="preserve">B.8 Ölçütün sağlanamaması durumu</w:t>
      </w:r>
    </w:p>
    <w:p>
      <w:pPr>
        <w:pStyle w:val="ListParagraph"/>
        <w:numPr>
          <w:ilvl w:val="0"/>
          <w:numId w:val="2"/>
        </w:numPr>
        <w:spacing w:after="50"/>
      </w:pPr>
      <w:r>
        <w:rPr>
          <w:rFonts w:ascii="Arial" w:cs="Arial" w:eastAsia="Arial" w:hAnsi="Arial"/>
          <w:b/>
          <w:bCs/>
          <w:sz w:val="18"/>
          <w:szCs w:val="18"/>
        </w:rPr>
        <w:t xml:space="preserve">Kapı-1 (Haziran 2027).</w:t>
      </w:r>
      <w:r>
        <w:rPr>
          <w:rFonts w:ascii="Arial" w:cs="Arial" w:eastAsia="Arial" w:hAnsi="Arial"/>
          <w:sz w:val="18"/>
          <w:szCs w:val="18"/>
        </w:rPr>
        <w:t xml:space="preserve"> En az 300 sürüşe ulaşılamazsa ya da ortalama mutlak yüzde hata %25'i aşarsa THS 6 beyan edilmez ve sistem THS 5 olarak raporlanır. Bu durumda 4.3'teki yazılı devam/iyileştirme kararı alınır ve 5.1'deki B planı uygulanır: Sınırlı yayın kapsamı daraltılır, kritik hatalar kapatılır ve varış süresi modeli yeniden kalibre edilir. Eşik yalnız belirli bölgelerde sağlanırsa doğrulanmış ticari iddia bu bölgelerle sınırlandırılır. Sonuç ve düzeltici işler AGY312 ile bildirilir.</w:t>
      </w:r>
    </w:p>
    <w:p>
      <w:pPr>
        <w:pStyle w:val="ListParagraph"/>
        <w:numPr>
          <w:ilvl w:val="0"/>
          <w:numId w:val="2"/>
        </w:numPr>
        <w:spacing w:after="50"/>
      </w:pPr>
      <w:r>
        <w:rPr>
          <w:rFonts w:ascii="Arial" w:cs="Arial" w:eastAsia="Arial" w:hAnsi="Arial"/>
          <w:b/>
          <w:bCs/>
          <w:sz w:val="18"/>
          <w:szCs w:val="18"/>
        </w:rPr>
        <w:t xml:space="preserve">Teknik kabul ölçütleri (Tablo B-10, 3. ve 4. satır).</w:t>
      </w:r>
      <w:r>
        <w:rPr>
          <w:rFonts w:ascii="Arial" w:cs="Arial" w:eastAsia="Arial" w:hAnsi="Arial"/>
          <w:sz w:val="18"/>
          <w:szCs w:val="18"/>
        </w:rPr>
        <w:t xml:space="preserve"> İstanbul geneli referans eşitliği ya da gecikme hedefleri sağlanamazsa S6.1, S6.3 ve S6.5'in puanı yükseltilmez; açık ve yeni hedef tarih AGY312 ile bildirilir.</w:t>
      </w:r>
    </w:p>
    <w:p>
      <w:pPr>
        <w:pStyle w:val="ListParagraph"/>
        <w:numPr>
          <w:ilvl w:val="0"/>
          <w:numId w:val="2"/>
        </w:numPr>
        <w:spacing w:after="50"/>
      </w:pPr>
      <w:r>
        <w:rPr>
          <w:rFonts w:ascii="Arial" w:cs="Arial" w:eastAsia="Arial" w:hAnsi="Arial"/>
          <w:b/>
          <w:bCs/>
          <w:sz w:val="18"/>
          <w:szCs w:val="18"/>
        </w:rPr>
        <w:t xml:space="preserve">Kapı-2 ve Kapı-3.</w:t>
      </w:r>
      <w:r>
        <w:rPr>
          <w:rFonts w:ascii="Arial" w:cs="Arial" w:eastAsia="Arial" w:hAnsi="Arial"/>
          <w:sz w:val="18"/>
          <w:szCs w:val="18"/>
        </w:rPr>
        <w:t xml:space="preserve"> Aynı B planı Ay 12 (%18) ve Ay 18 (%15) eşikleri için de geçerlidir (5.1). Eşik sağlanamazsa ilgili seviye (THS 7 ya da THS 8) beyan edilmez; proje sonundaki durum AGY352 ile bildirilir.</w:t>
      </w:r>
    </w:p>
    <w:p>
      <w:pPr>
        <w:pStyle w:val="Heading1"/>
        <w:keepNext/>
        <w:spacing w:after="100" w:before="260"/>
      </w:pPr>
      <w:r>
        <w:rPr>
          <w:rFonts w:ascii="Arial" w:cs="Arial" w:eastAsia="Arial" w:hAnsi="Arial"/>
          <w:b/>
          <w:bCs/>
          <w:i w:val="false"/>
          <w:iCs w:val="false"/>
          <w:color w:val="000000"/>
          <w:sz w:val="26"/>
          <w:szCs w:val="26"/>
        </w:rPr>
        <w:t xml:space="preserve">B.9 Sınırlılıklar</w:t>
      </w:r>
    </w:p>
    <w:p>
      <w:pPr>
        <w:pStyle w:val="ListParagraph"/>
        <w:numPr>
          <w:ilvl w:val="0"/>
          <w:numId w:val="2"/>
        </w:numPr>
        <w:spacing w:after="50"/>
      </w:pPr>
      <w:r>
        <w:rPr>
          <w:rFonts w:ascii="Arial" w:cs="Arial" w:eastAsia="Arial" w:hAnsi="Arial"/>
          <w:b/>
          <w:bCs/>
          <w:sz w:val="18"/>
          <w:szCs w:val="18"/>
        </w:rPr>
        <w:t xml:space="preserve">Öz değerlendirme.</w:t>
      </w:r>
      <w:r>
        <w:rPr>
          <w:rFonts w:ascii="Arial" w:cs="Arial" w:eastAsia="Arial" w:hAnsi="Arial"/>
          <w:sz w:val="18"/>
          <w:szCs w:val="18"/>
        </w:rPr>
        <w:t xml:space="preserve"> Puanlar MotoMap kurucu ekibinin yargısıdır; bağımsız bir denetim ya da TÜBİTAK tespiti değildir. Setteki ölçek düzeyleri (“yaklaşık yarısı”, “büyük bölümü”) nicel tanım içermediğinden puanlar değerlendirenin yargısına bağlıdır.</w:t>
      </w:r>
    </w:p>
    <w:p>
      <w:pPr>
        <w:pStyle w:val="ListParagraph"/>
        <w:numPr>
          <w:ilvl w:val="0"/>
          <w:numId w:val="2"/>
        </w:numPr>
        <w:spacing w:after="50"/>
      </w:pPr>
      <w:r>
        <w:rPr>
          <w:rFonts w:ascii="Arial" w:cs="Arial" w:eastAsia="Arial" w:hAnsi="Arial"/>
          <w:b/>
          <w:bCs/>
          <w:sz w:val="18"/>
          <w:szCs w:val="18"/>
        </w:rPr>
        <w:t xml:space="preserve">Kanıtın niteliği.</w:t>
      </w:r>
      <w:r>
        <w:rPr>
          <w:rFonts w:ascii="Arial" w:cs="Arial" w:eastAsia="Arial" w:hAnsi="Arial"/>
          <w:sz w:val="18"/>
          <w:szCs w:val="18"/>
        </w:rPr>
        <w:t xml:space="preserve"> Kanıtlar MotoMap'in iç test, ölçüm ve belge kayıtlarıdır; sonuçlar bağımsız bir tarafça tekrarlanmamıştır. Performans ölçümleri Kadıköy ağında ve test ortamlarında yapılmıştır; İstanbul geneli ağda gecikme ölçülmemiştir.</w:t>
      </w:r>
    </w:p>
    <w:p>
      <w:pPr>
        <w:pStyle w:val="ListParagraph"/>
        <w:numPr>
          <w:ilvl w:val="0"/>
          <w:numId w:val="2"/>
        </w:numPr>
        <w:spacing w:after="50"/>
      </w:pPr>
      <w:r>
        <w:rPr>
          <w:rFonts w:ascii="Arial" w:cs="Arial" w:eastAsia="Arial" w:hAnsi="Arial"/>
          <w:b/>
          <w:bCs/>
          <w:sz w:val="18"/>
          <w:szCs w:val="18"/>
        </w:rPr>
        <w:t xml:space="preserve">Saha doğruluğu.</w:t>
      </w:r>
      <w:r>
        <w:rPr>
          <w:rFonts w:ascii="Arial" w:cs="Arial" w:eastAsia="Arial" w:hAnsi="Arial"/>
          <w:sz w:val="18"/>
          <w:szCs w:val="18"/>
        </w:rPr>
        <w:t xml:space="preserve"> Doğrulama protokolüyle ölçülmüş gerçek sürüş bulunmamaktadır. Varış süresinin sahadaki doğruluğuna ilişkin ilk sonuç Doğruluk Raporu 1 ile Haziran 2027'de raporlanacaktır (2.1, 4.3).</w:t>
      </w:r>
    </w:p>
    <w:p>
      <w:pPr>
        <w:pStyle w:val="ListParagraph"/>
        <w:numPr>
          <w:ilvl w:val="0"/>
          <w:numId w:val="2"/>
        </w:numPr>
        <w:spacing w:after="50"/>
      </w:pPr>
      <w:r>
        <w:rPr>
          <w:rFonts w:ascii="Arial" w:cs="Arial" w:eastAsia="Arial" w:hAnsi="Arial"/>
          <w:b/>
          <w:bCs/>
          <w:sz w:val="18"/>
          <w:szCs w:val="18"/>
        </w:rPr>
        <w:t xml:space="preserve">Sistem ve bileşen düzeyi.</w:t>
      </w:r>
      <w:r>
        <w:rPr>
          <w:rFonts w:ascii="Arial" w:cs="Arial" w:eastAsia="Arial" w:hAnsi="Arial"/>
          <w:sz w:val="18"/>
          <w:szCs w:val="18"/>
        </w:rPr>
        <w:t xml:space="preserve"> Seviye puanı sistemin bütününe verilmiştir ve bileşenler arasındaki farkı göstermez. Ürünün yenilik iddiasını taşıyan motosiklet süre modeli yalnız analitik çalışma ve kontrollü benzetimle sınandığından bileşen düzeyinde THS 4'te değerlendirilmektedir. Kurye sıralaması sahada sınanmadığından THS 4'tedir; rota çekirdeği, canlı trafik eşleme, mobil navigasyon döngüsü ve veri ve doğrulama hattı THS 5'tedir.</w:t>
      </w:r>
    </w:p>
    <w:p>
      <w:pPr>
        <w:pStyle w:val="ListParagraph"/>
        <w:numPr>
          <w:ilvl w:val="0"/>
          <w:numId w:val="2"/>
        </w:numPr>
        <w:spacing w:after="50"/>
      </w:pPr>
      <w:r>
        <w:rPr>
          <w:rFonts w:ascii="Arial" w:cs="Arial" w:eastAsia="Arial" w:hAnsi="Arial"/>
          <w:b/>
          <w:bCs/>
          <w:sz w:val="18"/>
          <w:szCs w:val="18"/>
        </w:rPr>
        <w:t xml:space="preserve">Tarih.</w:t>
      </w:r>
      <w:r>
        <w:rPr>
          <w:rFonts w:ascii="Arial" w:cs="Arial" w:eastAsia="Arial" w:hAnsi="Arial"/>
          <w:sz w:val="18"/>
          <w:szCs w:val="18"/>
        </w:rPr>
        <w:t xml:space="preserve"> Puanlar 23.09.2026 durumunu yansıtır. Kod depolarına 24–30.09.2026 arasında giren değişiklikler puanlamaya alınmamıştır; bir sonraki güncellemede aynı setle değerlendirilecektir.</w:t>
      </w:r>
    </w:p>
    <w:p>
      <w:pPr>
        <w:pStyle w:val="Heading1"/>
        <w:keepNext/>
        <w:spacing w:after="100" w:before="260"/>
      </w:pPr>
      <w:r>
        <w:rPr>
          <w:rFonts w:ascii="Arial" w:cs="Arial" w:eastAsia="Arial" w:hAnsi="Arial"/>
          <w:b/>
          <w:bCs/>
          <w:i w:val="false"/>
          <w:iCs w:val="false"/>
          <w:color w:val="000000"/>
          <w:sz w:val="26"/>
          <w:szCs w:val="26"/>
        </w:rPr>
        <w:t xml:space="preserve">B.10 Kaynaklar</w:t>
      </w:r>
    </w:p>
    <w:p>
      <w:pPr>
        <w:keepNext/>
        <w:spacing w:after="60" w:before="140"/>
      </w:pPr>
      <w:r>
        <w:rPr>
          <w:rFonts w:ascii="Arial" w:cs="Arial" w:eastAsia="Arial" w:hAnsi="Arial"/>
          <w:b/>
          <w:bCs/>
          <w:sz w:val="18"/>
          <w:szCs w:val="18"/>
        </w:rPr>
        <w:t xml:space="preserve">Tablo B-11. Kaynaklar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13651"/>
      </w:tblGrid>
      <w:tr>
        <w:trPr>
          <w:cantSplit/>
          <w:tblHeader/>
        </w:trPr>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136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“Teknoloji Hazırlık Seviyesi (THS) Belirleme” sayfası (eşik, eşit ağırlık ve “X” ile yanıtlama kuralı; indirilebilir dosyalar). </w:t>
            </w:r>
            <w:hyperlink w:history="1" r:id="rIdjiw2hwqfusksnexo-vooq">
              <w:r>
                <w:rPr>
                  <w:rFonts w:ascii="Arial" w:cs="Arial" w:eastAsia="Arial" w:hAnsi="Arial"/>
                  <w:color w:val="1F4E79"/>
                  <w:sz w:val="17"/>
                  <w:szCs w:val="17"/>
                </w:rPr>
                <w:t xml:space="preserve">https://tubitak.gov.tr/tr/kurumsal/politikalar/tubitak-teknoloji-hazirlik-seviyesi-belirleme-metodolojisi</w:t>
              </w:r>
            </w:hyperlink>
            <w:r>
              <w:rPr>
                <w:rFonts w:ascii="Arial" w:cs="Arial" w:eastAsia="Arial" w:hAnsi="Arial"/>
                <w:sz w:val="17"/>
                <w:szCs w:val="17"/>
              </w:rPr>
              <w:t xml:space="preserve"> (erişim 30.09.2026)</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“TÜBİTAK Teknolojik Hazırlık Seviyesi Belirleme Soru Seti”, “Yazılım” sayfası, Excel dosyası, Nisan 2024 (K1 sayfasındaki adı: “TÜBİTAK Teknolojik Hazırlık Seviyesi Belirleme Dosyası”). </w:t>
            </w:r>
            <w:hyperlink w:history="1" r:id="rIdohjltqnh-_5jqdo756czz">
              <w:r>
                <w:rPr>
                  <w:rFonts w:ascii="Arial" w:cs="Arial" w:eastAsia="Arial" w:hAnsi="Arial"/>
                  <w:color w:val="1F4E79"/>
                  <w:sz w:val="17"/>
                  <w:szCs w:val="17"/>
                </w:rPr>
                <w:t xml:space="preserve">https://tubitak.gov.tr/sites/default/files/2024-04/tubitak-ths-set-printfr-Nisan-2024-THS0-1.xlsx</w:t>
              </w:r>
            </w:hyperlink>
            <w:r>
              <w:rPr>
                <w:rFonts w:ascii="Arial" w:cs="Arial" w:eastAsia="Arial" w:hAnsi="Arial"/>
                <w:sz w:val="17"/>
                <w:szCs w:val="17"/>
              </w:rPr>
              <w:t xml:space="preserve"> (erişim 30.09.2026)</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“TÜBİTAK 1812 Yatırım Tabanlı Girişimcilik Destek Programı Uygulama Esasları”, 07.02.2025 tarihli ve 72 sayılı Yönetim Kurulu kararıyla değişik metin, m.4/1 (ö) ve (p), m.19–20. </w:t>
            </w:r>
            <w:hyperlink w:history="1" r:id="rIdevbnicqdyr-x879cbvm3p">
              <w:r>
                <w:rPr>
                  <w:rFonts w:ascii="Arial" w:cs="Arial" w:eastAsia="Arial" w:hAnsi="Arial"/>
                  <w:color w:val="1F4E79"/>
                  <w:sz w:val="17"/>
                  <w:szCs w:val="17"/>
                </w:rPr>
                <w:t xml:space="preserve">https://tubitak.gov.tr/sites/default/files/2026-01/1812_72YK_islenmis_hali.pdf</w:t>
              </w:r>
            </w:hyperlink>
            <w:r>
              <w:rPr>
                <w:rFonts w:ascii="Arial" w:cs="Arial" w:eastAsia="Arial" w:hAnsi="Arial"/>
                <w:sz w:val="17"/>
                <w:szCs w:val="17"/>
              </w:rPr>
              <w:t xml:space="preserve"> (erişim 30.09.2026)</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Asqool O., Koting S., Saifizul A., “Evaluation of Outlier Filtering Algorithms for Accurate Travel Time Measurement Incorporating Lane-Splitting Situations”, Sustainability 13(24):13851, 2021. </w:t>
            </w:r>
            <w:hyperlink w:history="1" r:id="rIdgyu6txqbwu7hgakcdgkbi">
              <w:r>
                <w:rPr>
                  <w:rFonts w:ascii="Arial" w:cs="Arial" w:eastAsia="Arial" w:hAnsi="Arial"/>
                  <w:color w:val="1F4E79"/>
                  <w:sz w:val="17"/>
                  <w:szCs w:val="17"/>
                </w:rPr>
                <w:t xml:space="preserve">https://doi.org/10.3390/su132413851</w:t>
              </w:r>
            </w:hyperlink>
            <w:r>
              <w:rPr>
                <w:rFonts w:ascii="Arial" w:cs="Arial" w:eastAsia="Arial" w:hAnsi="Arial"/>
                <w:sz w:val="17"/>
                <w:szCs w:val="17"/>
              </w:rPr>
              <w:t xml:space="preserve"> (erişim 30.09.2026)</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Ambarwati L., Pel A.J., Verhaeghe R., van Arem B., “Empirical analysis of heterogeneous traffic flow and calibration of porous flow model”, Transportation Research Part C 48:418–436, 2014. </w:t>
            </w:r>
            <w:hyperlink w:history="1" r:id="rIdnlu1zoh-epzn6bwzj1kg0">
              <w:r>
                <w:rPr>
                  <w:rFonts w:ascii="Arial" w:cs="Arial" w:eastAsia="Arial" w:hAnsi="Arial"/>
                  <w:color w:val="1F4E79"/>
                  <w:sz w:val="17"/>
                  <w:szCs w:val="17"/>
                </w:rPr>
                <w:t xml:space="preserve">https://doi.org/10.1016/j.trc.2014.09.017</w:t>
              </w:r>
            </w:hyperlink>
            <w:r>
              <w:rPr>
                <w:rFonts w:ascii="Arial" w:cs="Arial" w:eastAsia="Arial" w:hAnsi="Arial"/>
                <w:sz w:val="17"/>
                <w:szCs w:val="17"/>
              </w:rPr>
              <w:t xml:space="preserve"> (erişim 30.09.2026)</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AGY112 İş Planı, 1.1, 1.7, 2.1, 2.2, 2.4, 2.7, 3.1, 3.3, 4.1, 4.3 ve 5.1 alanları, Eylül 2026</w:t>
            </w:r>
          </w:p>
        </w:tc>
      </w:tr>
      <w:tr>
        <w:trPr>
          <w:cantSplit/>
          <w:tblHeader w:val="off"/>
        </w:trPr>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13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iç belgeleri (kod depoları): teknik rapor (İngilizce, 120 sayfa, Temmuz 2026); algoritma el kitabı; kod tanıtım belgeleri; H2 varış süresi doğruluk protokolü (10.08.2026); yük ve bütünleşik akış testi raporları (21.07.2026, 04.09.2026, 06.09.2026); üretim yapılandırmasındaki yük ölçümü notu (07.09.2026); İstanbul geneli ağ tarama notu (01.09.2026); mağaza hazırlık listesi (Eylül 2026); açık işler listesi (07.09.2026). Talep hâlinde gizlilik kaydıyla sunulur</w:t>
            </w:r>
          </w:p>
        </w:tc>
      </w:tr>
    </w:tbl>
    <w:p>
      <w:pPr>
        <w:spacing w:after="60"/>
      </w:pPr>
    </w:p>
    <w:sectPr>
      <w:footerReference w:type="default" r:id="rId6"/>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Ek-B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iw2hwqfusksnexo-vooq" Type="http://schemas.openxmlformats.org/officeDocument/2006/relationships/hyperlink" Target="https://tubitak.gov.tr/tr/kurumsal/politikalar/tubitak-teknoloji-hazirlik-seviyesi-belirleme-metodolojisi" TargetMode="External"/><Relationship Id="rIdohjltqnh-_5jqdo756czz" Type="http://schemas.openxmlformats.org/officeDocument/2006/relationships/hyperlink" Target="https://tubitak.gov.tr/sites/default/files/2024-04/tubitak-ths-set-printfr-Nisan-2024-THS0-1.xlsx" TargetMode="External"/><Relationship Id="rIdevbnicqdyr-x879cbvm3p" Type="http://schemas.openxmlformats.org/officeDocument/2006/relationships/hyperlink" Target="https://tubitak.gov.tr/sites/default/files/2026-01/1812_72YK_islenmis_hali.pdf" TargetMode="External"/><Relationship Id="rIdgyu6txqbwu7hgakcdgkbi" Type="http://schemas.openxmlformats.org/officeDocument/2006/relationships/hyperlink" Target="https://doi.org/10.3390/su132413851" TargetMode="External"/><Relationship Id="rIdnlu1zoh-epzn6bwzj1kg0" Type="http://schemas.openxmlformats.org/officeDocument/2006/relationships/hyperlink" Target="https://doi.org/10.1016/j.trc.2014.09.017"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Ek-B THS Değerlendirme ve Kanıt Matrisi</dc:title>
  <dc:creator>MotoMap</dc:creator>
  <cp:lastModifiedBy>Un-named</cp:lastModifiedBy>
  <cp:revision>1</cp:revision>
  <dcterms:created xsi:type="dcterms:W3CDTF">2026-09-30T16:41:28.446Z</dcterms:created>
  <dcterms:modified xsi:type="dcterms:W3CDTF">2026-09-30T16:41:28.447Z</dcterms:modified>
</cp:coreProperties>
</file>

<file path=docProps/custom.xml><?xml version="1.0" encoding="utf-8"?>
<Properties xmlns="http://schemas.openxmlformats.org/officeDocument/2006/custom-properties" xmlns:vt="http://schemas.openxmlformats.org/officeDocument/2006/docPropsVTypes"/>
</file>