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595959"/>
          <w:sz w:val="22"/>
          <w:szCs w:val="22"/>
        </w:rPr>
        <w:t xml:space="preserve">Ek-E</w:t>
      </w:r>
    </w:p>
    <w:p>
      <w:pPr>
        <w:spacing w:after="60"/>
      </w:pPr>
      <w:r>
        <w:rPr>
          <w:rFonts w:ascii="Arial" w:cs="Arial" w:eastAsia="Arial" w:hAnsi="Arial"/>
          <w:b/>
          <w:bCs/>
          <w:sz w:val="36"/>
          <w:szCs w:val="36"/>
        </w:rPr>
        <w:t xml:space="preserve">Nakit Akışı, Nakit Pisti ve Finansman Senaryoları</w:t>
      </w:r>
    </w:p>
    <w:p>
      <w:pPr>
        <w:spacing w:after="160"/>
      </w:pPr>
      <w:r>
        <w:rPr>
          <w:rFonts w:ascii="Arial" w:cs="Arial" w:eastAsia="Arial" w:hAnsi="Arial"/>
          <w:color w:val="595959"/>
          <w:sz w:val="17"/>
          <w:szCs w:val="17"/>
        </w:rPr>
        <w:t xml:space="preserve">MotoMap · TÜBİTAK 1812 Yatırım Tabanlı Girişimcilik Destekleme Programı · AGY 112 İş Planı eki · Çağrı 1812-2026-2 · Düzenleme tarihi: 30.09.2026</w:t>
      </w:r>
    </w:p>
    <w:p>
      <w:pPr>
        <w:pStyle w:val="Heading1"/>
        <w:keepNext/>
        <w:spacing w:after="100" w:before="260"/>
      </w:pPr>
      <w:r>
        <w:rPr>
          <w:rFonts w:ascii="Arial" w:cs="Arial" w:eastAsia="Arial" w:hAnsi="Arial"/>
          <w:b/>
          <w:bCs/>
          <w:i w:val="false"/>
          <w:iCs w:val="false"/>
          <w:color w:val="000000"/>
          <w:sz w:val="26"/>
          <w:szCs w:val="26"/>
        </w:rPr>
        <w:t xml:space="preserve">E.1 Amaç ve kapsam</w:t>
      </w:r>
    </w:p>
    <w:p>
      <w:pPr>
        <w:spacing w:after="90"/>
      </w:pPr>
      <w:r>
        <w:rPr>
          <w:rFonts w:ascii="Arial" w:cs="Arial" w:eastAsia="Arial" w:hAnsi="Arial"/>
          <w:sz w:val="18"/>
          <w:szCs w:val="18"/>
        </w:rPr>
        <w:t xml:space="preserve">Bu ek, MotoMap A.Ş.'nin 18 aylık proje dönemindeki nakit durumunu ay bazında, izleyen beş yılı ise dönem bazında göstermek amacıyla hazırlanmıştır. İş Planı 4.5 ve 5.1'de "yaklaşık Ay 9" olarak verilen nakit pistinin dayanağı, dönemsel ödeme takvimine göre hesaplanan pist, kritik nakit ayı, dış finansman ihtiyacı ve B planının nakde etkisi bu ekte yer almaktadır. Gelir, katkı payı ve 78 aylık sabit gider toplamları Ek-D ile aynıdır.</w:t>
      </w:r>
    </w:p>
    <w:p>
      <w:pPr>
        <w:spacing w:after="90"/>
      </w:pPr>
      <w:r>
        <w:rPr>
          <w:rFonts w:ascii="Arial" w:cs="Arial" w:eastAsia="Arial" w:hAnsi="Arial"/>
          <w:sz w:val="18"/>
          <w:szCs w:val="18"/>
        </w:rPr>
        <w:t xml:space="preserve">Ekin iki temel sonucu şunlardır. Yalnız kesin finansmanla (1.592.500 TL) nakit Ay 12 sonuna kadar pozitif kalmakta, Ay 13'te (Ocak 2028) eksiye dönmektedir; proje sonuna (Ay 18) kadar giderlerin karşılanması için 744.066 TL ek finansman gerekmektedir. Planın "yaklaşık Ay 9" ifadesi, giderlerin aylara eşit dağıtıldığı yönteme dayanır ve üç yöntemin en muhafazakâr sonucudur (E.6).</w:t>
      </w:r>
    </w:p>
    <w:p>
      <w:pPr>
        <w:pStyle w:val="Heading1"/>
        <w:keepNext/>
        <w:spacing w:after="100" w:before="260"/>
      </w:pPr>
      <w:r>
        <w:rPr>
          <w:rFonts w:ascii="Arial" w:cs="Arial" w:eastAsia="Arial" w:hAnsi="Arial"/>
          <w:b/>
          <w:bCs/>
          <w:i w:val="false"/>
          <w:iCs w:val="false"/>
          <w:color w:val="000000"/>
          <w:sz w:val="26"/>
          <w:szCs w:val="26"/>
        </w:rPr>
        <w:t xml:space="preserve">E.2 Yöntem</w:t>
      </w:r>
    </w:p>
    <w:p>
      <w:pPr>
        <w:spacing w:after="90"/>
      </w:pPr>
      <w:r>
        <w:rPr>
          <w:rFonts w:ascii="Arial" w:cs="Arial" w:eastAsia="Arial" w:hAnsi="Arial"/>
          <w:b/>
          <w:bCs/>
          <w:sz w:val="18"/>
          <w:szCs w:val="18"/>
        </w:rPr>
        <w:t xml:space="preserve">Gider takvimi.</w:t>
      </w:r>
      <w:r>
        <w:rPr>
          <w:rFonts w:ascii="Arial" w:cs="Arial" w:eastAsia="Arial" w:hAnsi="Arial"/>
          <w:sz w:val="18"/>
          <w:szCs w:val="18"/>
        </w:rPr>
        <w:t xml:space="preserve"> Aylık sabit giderler, Ek-D'nin dayandığı fizibilite modelinin çekirdek ekip stratejisinden (strateji H, temel parametre çekilişi) alınmıştır. Bu takvimin 78 aylık kalem toplamları Ek-D Tablo D-1b ve D-5 ile birebir aynıdır: personel ve SGK 9.532.519 TL, genel yönetim ve danışmanlık 2.181.064 TL, canlı trafik lisansı 1.618.765 TL, pazarlama ve filo kurulumu 1.185.439 TL, sunucu ve altyapı 759.590 TL, teçhizat 75.000 TL; toplam 15.352.377 TL. Ek-D bu toplamı 78 aya eşit dağıtmaktadır (aylık yaklaşık 196.825 TL); bu ek ise modelin ay ay ödeme takvimini kullanır.</w:t>
      </w:r>
    </w:p>
    <w:p>
      <w:pPr>
        <w:spacing w:after="90"/>
      </w:pPr>
      <w:r>
        <w:rPr>
          <w:rFonts w:ascii="Arial" w:cs="Arial" w:eastAsia="Arial" w:hAnsi="Arial"/>
          <w:b/>
          <w:bCs/>
          <w:sz w:val="18"/>
          <w:szCs w:val="18"/>
        </w:rPr>
        <w:t xml:space="preserve">Plan takvimine uyum.</w:t>
      </w:r>
      <w:r>
        <w:rPr>
          <w:rFonts w:ascii="Arial" w:cs="Arial" w:eastAsia="Arial" w:hAnsi="Arial"/>
          <w:sz w:val="18"/>
          <w:szCs w:val="18"/>
        </w:rPr>
        <w:t xml:space="preserve"> Modelde iki tek seferlik kalemin ayı iş planındaki tarihlerden farklıdır. Bu ekte iki kalem planın tarihine taşınmış, toplamlar değiştirilmemiştir: ölçüm pilotu gideri (30.000 TL) Ay 7–9'dan Ay 4–6'ya (İş Planı 4.3: pilot Haziran 2027), patent vekilinin faaliyet serbestliği görüşü (36.000 TL) Ay 10'dan Ay 3'e (İş Planı 1.7 ve 2.6: Ay 1–3). Aralık 2026'da (Ay 0) yapılacak şirket kuruluşu ve marka başvurusu giderleri Ay 1 satırında gösterilmiştir.</w:t>
      </w:r>
    </w:p>
    <w:p>
      <w:pPr>
        <w:spacing w:after="90"/>
      </w:pPr>
      <w:r>
        <w:rPr>
          <w:rFonts w:ascii="Arial" w:cs="Arial" w:eastAsia="Arial" w:hAnsi="Arial"/>
          <w:b/>
          <w:bCs/>
          <w:sz w:val="18"/>
          <w:szCs w:val="18"/>
        </w:rPr>
        <w:t xml:space="preserve">Gelir ve katkı payı.</w:t>
      </w:r>
      <w:r>
        <w:rPr>
          <w:rFonts w:ascii="Arial" w:cs="Arial" w:eastAsia="Arial" w:hAnsi="Arial"/>
          <w:sz w:val="18"/>
          <w:szCs w:val="18"/>
        </w:rPr>
        <w:t xml:space="preserve"> Katkı payı (net gelir eksi değişken teknik maliyet) Ek-D Tablo D-2'nin dönem toplamlarından alınmış ve her dönemin içinde aylara eşit dağıtılmıştır. Proje dönemi katkı payı 95.247 TL, aylık 5.292 TL'dir. Bu, Ek-D'nin nakit pisti hesabında kullandığı sadeleştirmedir.</w:t>
      </w:r>
    </w:p>
    <w:p>
      <w:pPr>
        <w:spacing w:after="90"/>
      </w:pPr>
      <w:r>
        <w:rPr>
          <w:rFonts w:ascii="Arial" w:cs="Arial" w:eastAsia="Arial" w:hAnsi="Arial"/>
          <w:b/>
          <w:bCs/>
          <w:sz w:val="18"/>
          <w:szCs w:val="18"/>
        </w:rPr>
        <w:t xml:space="preserve">Finansmanın zamanlaması.</w:t>
      </w:r>
      <w:r>
        <w:rPr>
          <w:rFonts w:ascii="Arial" w:cs="Arial" w:eastAsia="Arial" w:hAnsi="Arial"/>
          <w:sz w:val="18"/>
          <w:szCs w:val="18"/>
        </w:rPr>
        <w:t xml:space="preserve"> Çağrı takvimine göre şirket kuruluşu ve sözleşmelerin imzalanması için son tarih 31 Aralık 2026, destek başlangıç tarihi 1 Ocak 2027'dir [K1]. BİGG yatırımı, Yatırım ve Pay Sahipleri Sözleşmesi (YPSS) ile Proje İzleme Sözleşmesi imzalandıktan sonra tek ödemeyle yapılır; Fon, sözleşmelerin teslimi ve banka hesabının bildirilmesinden sonra 1–3 iş günü içinde şirket hesabına ödeme yapar [K1, K2]. Kurucu sermayesi (242.500 TL) kuruluşta nakden ödenir [K4]. Bu nedenle kesin finansmanın tamamı Ay 1 başında kullanılabilir kabul edilmiştir.</w:t>
      </w:r>
    </w:p>
    <w:p>
      <w:pPr>
        <w:spacing w:after="90"/>
      </w:pPr>
      <w:r>
        <w:rPr>
          <w:rFonts w:ascii="Arial" w:cs="Arial" w:eastAsia="Arial" w:hAnsi="Arial"/>
          <w:b/>
          <w:bCs/>
          <w:sz w:val="18"/>
          <w:szCs w:val="18"/>
        </w:rPr>
        <w:t xml:space="preserve">Birim ve etiketler.</w:t>
      </w:r>
      <w:r>
        <w:rPr>
          <w:rFonts w:ascii="Arial" w:cs="Arial" w:eastAsia="Arial" w:hAnsi="Arial"/>
          <w:sz w:val="18"/>
          <w:szCs w:val="18"/>
        </w:rPr>
        <w:t xml:space="preserve"> Tutarlar TL ve KDV hariçtir. Giderler ve gelirler Ek-D gibi 2026 fiyatlarıyla, finansman tutarları nominal değerleriyle gösterilmiştir; enflasyonun pist üzerindeki etkisi E.6'da ayrıca hesaplanmıştır. Etiketler Ek-D ile aynıdır: M model çıktısı, H hesap, V varsayım, K dış kaynak.</w:t>
      </w:r>
    </w:p>
    <w:p>
      <w:pPr>
        <w:pStyle w:val="Heading1"/>
        <w:keepNext/>
        <w:spacing w:after="100" w:before="260"/>
      </w:pPr>
      <w:r>
        <w:rPr>
          <w:rFonts w:ascii="Arial" w:cs="Arial" w:eastAsia="Arial" w:hAnsi="Arial"/>
          <w:b/>
          <w:bCs/>
          <w:i w:val="false"/>
          <w:iCs w:val="false"/>
          <w:color w:val="000000"/>
          <w:sz w:val="26"/>
          <w:szCs w:val="26"/>
        </w:rPr>
        <w:t xml:space="preserve">E.3 Başlangıç nakdi ve kesin finansman</w:t>
      </w:r>
    </w:p>
    <w:p>
      <w:pPr>
        <w:keepNext/>
        <w:spacing w:after="60" w:before="140"/>
      </w:pPr>
      <w:r>
        <w:rPr>
          <w:rFonts w:ascii="Arial" w:cs="Arial" w:eastAsia="Arial" w:hAnsi="Arial"/>
          <w:b/>
          <w:bCs/>
          <w:sz w:val="18"/>
          <w:szCs w:val="18"/>
        </w:rPr>
        <w:t xml:space="preserve">Tablo E-1. Kesin finansman kaynakları</w:t>
      </w:r>
    </w:p>
    <w:tbl>
      <w:tblPr>
        <w:tblW w:type="dxa" w:w="14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451"/>
        <w:gridCol w:w="1780"/>
        <w:gridCol w:w="3857"/>
        <w:gridCol w:w="2077"/>
        <w:gridCol w:w="2673"/>
      </w:tblGrid>
      <w:tr>
        <w:trPr>
          <w:cantSplit/>
          <w:tblHeader/>
        </w:trPr>
        <w:tc>
          <w:tcPr>
            <w:tcW w:type="dxa" w:w="4451"/>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Kaynak</w:t>
            </w:r>
          </w:p>
        </w:tc>
        <w:tc>
          <w:tcPr>
            <w:tcW w:type="dxa" w:w="178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Tutar (TL)</w:t>
            </w:r>
          </w:p>
        </w:tc>
        <w:tc>
          <w:tcPr>
            <w:tcW w:type="dxa" w:w="3857"/>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Zamanlama</w:t>
            </w:r>
          </w:p>
        </w:tc>
        <w:tc>
          <w:tcPr>
            <w:tcW w:type="dxa" w:w="2077"/>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Statü</w:t>
            </w:r>
          </w:p>
        </w:tc>
        <w:tc>
          <w:tcPr>
            <w:tcW w:type="dxa" w:w="2673"/>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Dayanak</w:t>
            </w:r>
          </w:p>
        </w:tc>
      </w:tr>
      <w:tr>
        <w:trPr>
          <w:cantSplit/>
          <w:tblHeader w:val="off"/>
        </w:trPr>
        <w:tc>
          <w:tcPr>
            <w:tcW w:type="dxa" w:w="445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TÜBİTAK BİGG Fonu yatırımı: %3 pay; 7.500 TL sermaye ve 1.342.500 TL emisyon primi</w:t>
            </w:r>
          </w:p>
        </w:tc>
        <w:tc>
          <w:tcPr>
            <w:tcW w:type="dxa" w:w="17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1.350.000</w:t>
            </w:r>
          </w:p>
        </w:tc>
        <w:tc>
          <w:tcPr>
            <w:tcW w:type="dxa" w:w="385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YPSS ve Proje İzleme Sözleşmesi imzalandıktan sonra 1–3 iş günü; en geç Ocak 2027 başı</w:t>
            </w:r>
          </w:p>
        </w:tc>
        <w:tc>
          <w:tcPr>
            <w:tcW w:type="dxa" w:w="20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Kesin (Mükemmeliyet Mührü ve sözleşmelere bağlı)</w:t>
            </w:r>
          </w:p>
        </w:tc>
        <w:tc>
          <w:tcPr>
            <w:tcW w:type="dxa" w:w="267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[K1] §5.5; [K2] m.5; İş Planı 3.2</w:t>
            </w:r>
          </w:p>
        </w:tc>
      </w:tr>
      <w:tr>
        <w:trPr>
          <w:cantSplit/>
          <w:tblHeader w:val="off"/>
        </w:trPr>
        <w:tc>
          <w:tcPr>
            <w:tcW w:type="dxa" w:w="445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Kurucu sermayesi (A grubu paylar, nominal)</w:t>
            </w:r>
          </w:p>
        </w:tc>
        <w:tc>
          <w:tcPr>
            <w:tcW w:type="dxa" w:w="17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242.500</w:t>
            </w:r>
          </w:p>
        </w:tc>
        <w:tc>
          <w:tcPr>
            <w:tcW w:type="dxa" w:w="385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Kuruluşta, Aralık 2026</w:t>
            </w:r>
          </w:p>
        </w:tc>
        <w:tc>
          <w:tcPr>
            <w:tcW w:type="dxa" w:w="20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Kesin</w:t>
            </w:r>
          </w:p>
        </w:tc>
        <w:tc>
          <w:tcPr>
            <w:tcW w:type="dxa" w:w="267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[K4]; İş Planı 3.2</w:t>
            </w:r>
          </w:p>
        </w:tc>
      </w:tr>
      <w:tr>
        <w:trPr>
          <w:cantSplit/>
          <w:tblHeader w:val="off"/>
        </w:trPr>
        <w:tc>
          <w:tcPr>
            <w:tcW w:type="dxa" w:w="445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b/>
                <w:bCs/>
                <w:sz w:val="17"/>
                <w:szCs w:val="17"/>
              </w:rPr>
              <w:t xml:space="preserve">Ay 1 başındaki nakit</w:t>
            </w:r>
          </w:p>
        </w:tc>
        <w:tc>
          <w:tcPr>
            <w:tcW w:type="dxa" w:w="17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b/>
                <w:bCs/>
                <w:sz w:val="17"/>
                <w:szCs w:val="17"/>
              </w:rPr>
              <w:t xml:space="preserve">1.592.500</w:t>
            </w:r>
          </w:p>
        </w:tc>
        <w:tc>
          <w:tcPr>
            <w:tcW w:type="dxa" w:w="385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p>
        </w:tc>
        <w:tc>
          <w:tcPr>
            <w:tcW w:type="dxa" w:w="20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p>
        </w:tc>
        <w:tc>
          <w:tcPr>
            <w:tcW w:type="dxa" w:w="267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w:t>
            </w:r>
          </w:p>
        </w:tc>
      </w:tr>
    </w:tbl>
    <w:p>
      <w:pPr>
        <w:spacing w:after="60"/>
      </w:pPr>
    </w:p>
    <w:p>
      <w:pPr>
        <w:spacing w:after="100" w:before="40"/>
      </w:pPr>
      <w:r>
        <w:rPr>
          <w:rFonts w:ascii="Arial" w:cs="Arial" w:eastAsia="Arial" w:hAnsi="Arial"/>
          <w:i/>
          <w:iCs/>
          <w:color w:val="595959"/>
          <w:sz w:val="16"/>
          <w:szCs w:val="16"/>
        </w:rPr>
        <w:t xml:space="preserve">Not: Melek yatırım, devam yatırımı ve Aşama 3 (BİGG+) kesinleşmemiş kaynaklardır ve taban senaryoya gelir olarak yazılmamıştır; etkileri E.7'de ayrı senaryo olarak gösterilmiştir.</w:t>
      </w:r>
    </w:p>
    <w:p>
      <w:pPr>
        <w:pStyle w:val="Heading1"/>
        <w:keepNext/>
        <w:spacing w:after="100" w:before="260"/>
      </w:pPr>
      <w:r>
        <w:rPr>
          <w:rFonts w:ascii="Arial" w:cs="Arial" w:eastAsia="Arial" w:hAnsi="Arial"/>
          <w:b/>
          <w:bCs/>
          <w:i w:val="false"/>
          <w:iCs w:val="false"/>
          <w:color w:val="000000"/>
          <w:sz w:val="26"/>
          <w:szCs w:val="26"/>
        </w:rPr>
        <w:t xml:space="preserve">E.4 Gider kalemleri ve dönemsel ödeme takvimi</w:t>
      </w:r>
    </w:p>
    <w:p>
      <w:pPr>
        <w:spacing w:after="90"/>
      </w:pPr>
      <w:r>
        <w:rPr>
          <w:rFonts w:ascii="Arial" w:cs="Arial" w:eastAsia="Arial" w:hAnsi="Arial"/>
          <w:sz w:val="18"/>
          <w:szCs w:val="18"/>
        </w:rPr>
        <w:t xml:space="preserve">Proje dönemindeki sabit gider toplamı 2.431.813 TL, aylık ortalaması 135.101 TL'dir. Düz dağıtımda aynı dönem için 3.542.856 TL (aylık 196.825 TL) gösterilmektedir. Fark, giderlerin zaman içindeki dağılımından doğar: Proje döneminde iki kurucu asgari ücretle çalışmakta, yeni işe alımlar gelir koşuluna bağlı tutulmakta ve canlı trafik lisansı hizmet verilen bölge genişledikçe artmaktadır. 78 aylık toplam değişmez.</w:t>
      </w:r>
    </w:p>
    <w:p>
      <w:pPr>
        <w:spacing w:after="90"/>
      </w:pPr>
      <w:r>
        <w:rPr>
          <w:rFonts w:ascii="Arial" w:cs="Arial" w:eastAsia="Arial" w:hAnsi="Arial"/>
          <w:sz w:val="18"/>
          <w:szCs w:val="18"/>
        </w:rPr>
        <w:t xml:space="preserve">Kalemlerin içeriği şöyledir:</w:t>
      </w:r>
    </w:p>
    <w:p>
      <w:pPr>
        <w:pStyle w:val="ListParagraph"/>
        <w:numPr>
          <w:ilvl w:val="0"/>
          <w:numId w:val="2"/>
        </w:numPr>
        <w:spacing w:after="50"/>
      </w:pPr>
      <w:r>
        <w:rPr>
          <w:rFonts w:ascii="Arial" w:cs="Arial" w:eastAsia="Arial" w:hAnsi="Arial"/>
          <w:b/>
          <w:bCs/>
          <w:sz w:val="18"/>
          <w:szCs w:val="18"/>
        </w:rPr>
        <w:t xml:space="preserve">Personel ve SGK.</w:t>
      </w:r>
      <w:r>
        <w:rPr>
          <w:rFonts w:ascii="Arial" w:cs="Arial" w:eastAsia="Arial" w:hAnsi="Arial"/>
          <w:sz w:val="18"/>
          <w:szCs w:val="18"/>
        </w:rPr>
        <w:t xml:space="preserve"> Proje döneminde ve Yıl 1'de iki kurucunun (CEO ve CTO) brüt asgari ücret üzerinden işveren maliyeti (2026 brüt asgari ücreti 33.030 TL); Ay 31'den itibaren kurucu başına aylık net 45.000 TL. Ek personel (mobil geliştirici, büyüme ve kurumsal satış, arka uç ve veri mühendisi, müşteri destek) son üç aylık gelir ortalaması belirlenen eşikleri geçtiğinde işe alınır (V). Üçüncü kurucunun ücret statüsü modelde yer almamaktadır; kurucular sözleşmesiyle kesinleşecektir (E.9).</w:t>
      </w:r>
    </w:p>
    <w:p>
      <w:pPr>
        <w:pStyle w:val="ListParagraph"/>
        <w:numPr>
          <w:ilvl w:val="0"/>
          <w:numId w:val="2"/>
        </w:numPr>
        <w:spacing w:after="50"/>
      </w:pPr>
      <w:r>
        <w:rPr>
          <w:rFonts w:ascii="Arial" w:cs="Arial" w:eastAsia="Arial" w:hAnsi="Arial"/>
          <w:b/>
          <w:bCs/>
          <w:sz w:val="18"/>
          <w:szCs w:val="18"/>
        </w:rPr>
        <w:t xml:space="preserve">Yönetim, danışmanlık ve tek seferlik giderler.</w:t>
      </w:r>
      <w:r>
        <w:rPr>
          <w:rFonts w:ascii="Arial" w:cs="Arial" w:eastAsia="Arial" w:hAnsi="Arial"/>
          <w:sz w:val="18"/>
          <w:szCs w:val="18"/>
        </w:rPr>
        <w:t xml:space="preserve"> Genel yönetim (proje döneminde aylık 15.400 TL); akademik danışman (18 ay için 96.000 TL); hukuk ve KVKK danışmanı (Ay 1–6'da aylık 6.000 TL, Ay 7–18'de aylık 2.000 TL); seyahat (18 ay için 28.214 TL); tek seferlik kalemler: şirket kuruluşu 10.000 TL, marka başvurusu 12.650 TL, beta sürüş kiti 5.000 TL, ölçüm pilotu 30.000 TL, patent vekili faaliyet serbestliği görüşü 36.000 TL.</w:t>
      </w:r>
    </w:p>
    <w:p>
      <w:pPr>
        <w:pStyle w:val="ListParagraph"/>
        <w:numPr>
          <w:ilvl w:val="0"/>
          <w:numId w:val="2"/>
        </w:numPr>
        <w:spacing w:after="50"/>
      </w:pPr>
      <w:r>
        <w:rPr>
          <w:rFonts w:ascii="Arial" w:cs="Arial" w:eastAsia="Arial" w:hAnsi="Arial"/>
          <w:b/>
          <w:bCs/>
          <w:sz w:val="18"/>
          <w:szCs w:val="18"/>
        </w:rPr>
        <w:t xml:space="preserve">Canlı trafik lisansı.</w:t>
      </w:r>
      <w:r>
        <w:rPr>
          <w:rFonts w:ascii="Arial" w:cs="Arial" w:eastAsia="Arial" w:hAnsi="Arial"/>
          <w:sz w:val="18"/>
          <w:szCs w:val="18"/>
        </w:rPr>
        <w:t xml:space="preserve"> Hizmet bölgesine göre kademeli lisans; Ay 3'te başlar, Ay 16'da üç ile, izleyen yıllarda Türkiye geneline genişler.</w:t>
      </w:r>
    </w:p>
    <w:p>
      <w:pPr>
        <w:pStyle w:val="ListParagraph"/>
        <w:numPr>
          <w:ilvl w:val="0"/>
          <w:numId w:val="2"/>
        </w:numPr>
        <w:spacing w:after="50"/>
      </w:pPr>
      <w:r>
        <w:rPr>
          <w:rFonts w:ascii="Arial" w:cs="Arial" w:eastAsia="Arial" w:hAnsi="Arial"/>
          <w:b/>
          <w:bCs/>
          <w:sz w:val="18"/>
          <w:szCs w:val="18"/>
        </w:rPr>
        <w:t xml:space="preserve">Pazarlama ve filo kurulumu.</w:t>
      </w:r>
      <w:r>
        <w:rPr>
          <w:rFonts w:ascii="Arial" w:cs="Arial" w:eastAsia="Arial" w:hAnsi="Arial"/>
          <w:sz w:val="18"/>
          <w:szCs w:val="18"/>
        </w:rPr>
        <w:t xml:space="preserve"> Topluluk ve içerik bütçesi (Ay 1–8'de aylık 5.000 TL, Ay 9–18'de aylık 10.000 TL), ölçülen performansa göre ayarlanan ücretli reklam ve ilk filo sözleşmesinden sonra filo kurulum gideri. Proje dönemindeki ücretli reklam, İş Planı 4.2'deki 60.000 TL'lik doğrulama bütçesi sınırının içinde kalmaktadır.</w:t>
      </w:r>
    </w:p>
    <w:p>
      <w:pPr>
        <w:pStyle w:val="ListParagraph"/>
        <w:numPr>
          <w:ilvl w:val="0"/>
          <w:numId w:val="2"/>
        </w:numPr>
        <w:spacing w:after="50"/>
      </w:pPr>
      <w:r>
        <w:rPr>
          <w:rFonts w:ascii="Arial" w:cs="Arial" w:eastAsia="Arial" w:hAnsi="Arial"/>
          <w:b/>
          <w:bCs/>
          <w:sz w:val="18"/>
          <w:szCs w:val="18"/>
        </w:rPr>
        <w:t xml:space="preserve">Sunucu ve altyapı.</w:t>
      </w:r>
      <w:r>
        <w:rPr>
          <w:rFonts w:ascii="Arial" w:cs="Arial" w:eastAsia="Arial" w:hAnsi="Arial"/>
          <w:sz w:val="18"/>
          <w:szCs w:val="18"/>
        </w:rPr>
        <w:t xml:space="preserve"> Aylık yaklaşık 6.900–8.300 TL. İş Planı 2.4'te "ofis ve sunucu kirası" adıyla geçen kalemdir; modelde ayrı ofis kirası bulunmamaktadır.</w:t>
      </w:r>
    </w:p>
    <w:p>
      <w:pPr>
        <w:pStyle w:val="ListParagraph"/>
        <w:numPr>
          <w:ilvl w:val="0"/>
          <w:numId w:val="2"/>
        </w:numPr>
        <w:spacing w:after="50"/>
      </w:pPr>
      <w:r>
        <w:rPr>
          <w:rFonts w:ascii="Arial" w:cs="Arial" w:eastAsia="Arial" w:hAnsi="Arial"/>
          <w:b/>
          <w:bCs/>
          <w:sz w:val="18"/>
          <w:szCs w:val="18"/>
        </w:rPr>
        <w:t xml:space="preserve">Teçhizat.</w:t>
      </w:r>
      <w:r>
        <w:rPr>
          <w:rFonts w:ascii="Arial" w:cs="Arial" w:eastAsia="Arial" w:hAnsi="Arial"/>
          <w:sz w:val="18"/>
          <w:szCs w:val="18"/>
        </w:rPr>
        <w:t xml:space="preserve"> Ay 2'de referans GNSS (uydu konum) kaydedicileri (en az iki adet, 35.000 TL) ve iOS ile Android test cihazları (40.000 TL).</w:t>
      </w:r>
    </w:p>
    <w:p>
      <w:pPr>
        <w:keepNext/>
        <w:spacing w:after="60" w:before="140"/>
      </w:pPr>
      <w:r>
        <w:rPr>
          <w:rFonts w:ascii="Arial" w:cs="Arial" w:eastAsia="Arial" w:hAnsi="Arial"/>
          <w:b/>
          <w:bCs/>
          <w:sz w:val="18"/>
          <w:szCs w:val="18"/>
        </w:rPr>
        <w:t xml:space="preserve">Tablo E-2. Sabit giderlerin dönemlere dağılımı (TL, 2026 fiyatları, KDV hariç; M)</w:t>
      </w:r>
    </w:p>
    <w:tbl>
      <w:tblPr>
        <w:tblW w:type="dxa" w:w="14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74"/>
        <w:gridCol w:w="2225"/>
        <w:gridCol w:w="2225"/>
        <w:gridCol w:w="1780"/>
        <w:gridCol w:w="2077"/>
        <w:gridCol w:w="1632"/>
        <w:gridCol w:w="1187"/>
        <w:gridCol w:w="1338"/>
      </w:tblGrid>
      <w:tr>
        <w:trPr>
          <w:cantSplit/>
          <w:tblHeader/>
        </w:trPr>
        <w:tc>
          <w:tcPr>
            <w:tcW w:type="dxa" w:w="2374"/>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Dönem</w:t>
            </w:r>
          </w:p>
        </w:tc>
        <w:tc>
          <w:tcPr>
            <w:tcW w:type="dxa" w:w="2225"/>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Personel ve SGK</w:t>
            </w:r>
          </w:p>
        </w:tc>
        <w:tc>
          <w:tcPr>
            <w:tcW w:type="dxa" w:w="2225"/>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Yönetim, danışmanlık, tek seferlik</w:t>
            </w:r>
          </w:p>
        </w:tc>
        <w:tc>
          <w:tcPr>
            <w:tcW w:type="dxa" w:w="178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Canlı trafik lisansı</w:t>
            </w:r>
          </w:p>
        </w:tc>
        <w:tc>
          <w:tcPr>
            <w:tcW w:type="dxa" w:w="2077"/>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Pazarlama ve filo kurulumu</w:t>
            </w:r>
          </w:p>
        </w:tc>
        <w:tc>
          <w:tcPr>
            <w:tcW w:type="dxa" w:w="1632"/>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Sunucu ve altyapı</w:t>
            </w:r>
          </w:p>
        </w:tc>
        <w:tc>
          <w:tcPr>
            <w:tcW w:type="dxa" w:w="1187"/>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Teçhizat</w:t>
            </w:r>
          </w:p>
        </w:tc>
        <w:tc>
          <w:tcPr>
            <w:tcW w:type="dxa" w:w="1338"/>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Sabit gider toplamı</w:t>
            </w:r>
          </w:p>
        </w:tc>
      </w:tr>
      <w:tr>
        <w:trPr>
          <w:cantSplit/>
          <w:tblHeader w:val="off"/>
        </w:trPr>
        <w:tc>
          <w:tcPr>
            <w:tcW w:type="dxa" w:w="23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Proje (Ay 1–18)</w:t>
            </w:r>
          </w:p>
        </w:tc>
        <w:tc>
          <w:tcPr>
            <w:tcW w:type="dxa" w:w="222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1.418.581</w:t>
            </w:r>
          </w:p>
        </w:tc>
        <w:tc>
          <w:tcPr>
            <w:tcW w:type="dxa" w:w="222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555.064</w:t>
            </w:r>
          </w:p>
        </w:tc>
        <w:tc>
          <w:tcPr>
            <w:tcW w:type="dxa" w:w="17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74.117</w:t>
            </w:r>
          </w:p>
        </w:tc>
        <w:tc>
          <w:tcPr>
            <w:tcW w:type="dxa" w:w="20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171.260</w:t>
            </w:r>
          </w:p>
        </w:tc>
        <w:tc>
          <w:tcPr>
            <w:tcW w:type="dxa" w:w="163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137.791</w:t>
            </w:r>
          </w:p>
        </w:tc>
        <w:tc>
          <w:tcPr>
            <w:tcW w:type="dxa" w:w="118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75.000</w:t>
            </w:r>
          </w:p>
        </w:tc>
        <w:tc>
          <w:tcPr>
            <w:tcW w:type="dxa" w:w="133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2.431.813</w:t>
            </w:r>
          </w:p>
        </w:tc>
      </w:tr>
      <w:tr>
        <w:trPr>
          <w:cantSplit/>
          <w:tblHeader w:val="off"/>
        </w:trPr>
        <w:tc>
          <w:tcPr>
            <w:tcW w:type="dxa" w:w="23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Yıl 1 (Ay 19–30)</w:t>
            </w:r>
          </w:p>
        </w:tc>
        <w:tc>
          <w:tcPr>
            <w:tcW w:type="dxa" w:w="222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969.403</w:t>
            </w:r>
          </w:p>
        </w:tc>
        <w:tc>
          <w:tcPr>
            <w:tcW w:type="dxa" w:w="222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325.200</w:t>
            </w:r>
          </w:p>
        </w:tc>
        <w:tc>
          <w:tcPr>
            <w:tcW w:type="dxa" w:w="17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235.438</w:t>
            </w:r>
          </w:p>
        </w:tc>
        <w:tc>
          <w:tcPr>
            <w:tcW w:type="dxa" w:w="20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199.443</w:t>
            </w:r>
          </w:p>
        </w:tc>
        <w:tc>
          <w:tcPr>
            <w:tcW w:type="dxa" w:w="163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129.351</w:t>
            </w:r>
          </w:p>
        </w:tc>
        <w:tc>
          <w:tcPr>
            <w:tcW w:type="dxa" w:w="118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0</w:t>
            </w:r>
          </w:p>
        </w:tc>
        <w:tc>
          <w:tcPr>
            <w:tcW w:type="dxa" w:w="133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1.858.835</w:t>
            </w:r>
          </w:p>
        </w:tc>
      </w:tr>
      <w:tr>
        <w:trPr>
          <w:cantSplit/>
          <w:tblHeader w:val="off"/>
        </w:trPr>
        <w:tc>
          <w:tcPr>
            <w:tcW w:type="dxa" w:w="23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Yıl 2 (Ay 31–42)</w:t>
            </w:r>
          </w:p>
        </w:tc>
        <w:tc>
          <w:tcPr>
            <w:tcW w:type="dxa" w:w="222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1.733.434</w:t>
            </w:r>
          </w:p>
        </w:tc>
        <w:tc>
          <w:tcPr>
            <w:tcW w:type="dxa" w:w="222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325.200</w:t>
            </w:r>
          </w:p>
        </w:tc>
        <w:tc>
          <w:tcPr>
            <w:tcW w:type="dxa" w:w="17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337.122</w:t>
            </w:r>
          </w:p>
        </w:tc>
        <w:tc>
          <w:tcPr>
            <w:tcW w:type="dxa" w:w="20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202.366</w:t>
            </w:r>
          </w:p>
        </w:tc>
        <w:tc>
          <w:tcPr>
            <w:tcW w:type="dxa" w:w="163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126.806</w:t>
            </w:r>
          </w:p>
        </w:tc>
        <w:tc>
          <w:tcPr>
            <w:tcW w:type="dxa" w:w="118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0</w:t>
            </w:r>
          </w:p>
        </w:tc>
        <w:tc>
          <w:tcPr>
            <w:tcW w:type="dxa" w:w="133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2.724.928</w:t>
            </w:r>
          </w:p>
        </w:tc>
      </w:tr>
      <w:tr>
        <w:trPr>
          <w:cantSplit/>
          <w:tblHeader w:val="off"/>
        </w:trPr>
        <w:tc>
          <w:tcPr>
            <w:tcW w:type="dxa" w:w="23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Yıl 3 (Ay 43–54)</w:t>
            </w:r>
          </w:p>
        </w:tc>
        <w:tc>
          <w:tcPr>
            <w:tcW w:type="dxa" w:w="222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1.768.102</w:t>
            </w:r>
          </w:p>
        </w:tc>
        <w:tc>
          <w:tcPr>
            <w:tcW w:type="dxa" w:w="222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325.200</w:t>
            </w:r>
          </w:p>
        </w:tc>
        <w:tc>
          <w:tcPr>
            <w:tcW w:type="dxa" w:w="17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330.489</w:t>
            </w:r>
          </w:p>
        </w:tc>
        <w:tc>
          <w:tcPr>
            <w:tcW w:type="dxa" w:w="20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203.335</w:t>
            </w:r>
          </w:p>
        </w:tc>
        <w:tc>
          <w:tcPr>
            <w:tcW w:type="dxa" w:w="163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124.311</w:t>
            </w:r>
          </w:p>
        </w:tc>
        <w:tc>
          <w:tcPr>
            <w:tcW w:type="dxa" w:w="118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0</w:t>
            </w:r>
          </w:p>
        </w:tc>
        <w:tc>
          <w:tcPr>
            <w:tcW w:type="dxa" w:w="133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2.751.438</w:t>
            </w:r>
          </w:p>
        </w:tc>
      </w:tr>
      <w:tr>
        <w:trPr>
          <w:cantSplit/>
          <w:tblHeader w:val="off"/>
        </w:trPr>
        <w:tc>
          <w:tcPr>
            <w:tcW w:type="dxa" w:w="23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Yıl 4 (Ay 55–66)</w:t>
            </w:r>
          </w:p>
        </w:tc>
        <w:tc>
          <w:tcPr>
            <w:tcW w:type="dxa" w:w="222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1.803.465</w:t>
            </w:r>
          </w:p>
        </w:tc>
        <w:tc>
          <w:tcPr>
            <w:tcW w:type="dxa" w:w="222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325.200</w:t>
            </w:r>
          </w:p>
        </w:tc>
        <w:tc>
          <w:tcPr>
            <w:tcW w:type="dxa" w:w="17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323.986</w:t>
            </w:r>
          </w:p>
        </w:tc>
        <w:tc>
          <w:tcPr>
            <w:tcW w:type="dxa" w:w="20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204.164</w:t>
            </w:r>
          </w:p>
        </w:tc>
        <w:tc>
          <w:tcPr>
            <w:tcW w:type="dxa" w:w="163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121.865</w:t>
            </w:r>
          </w:p>
        </w:tc>
        <w:tc>
          <w:tcPr>
            <w:tcW w:type="dxa" w:w="118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0</w:t>
            </w:r>
          </w:p>
        </w:tc>
        <w:tc>
          <w:tcPr>
            <w:tcW w:type="dxa" w:w="133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2.778.680</w:t>
            </w:r>
          </w:p>
        </w:tc>
      </w:tr>
      <w:tr>
        <w:trPr>
          <w:cantSplit/>
          <w:tblHeader w:val="off"/>
        </w:trPr>
        <w:tc>
          <w:tcPr>
            <w:tcW w:type="dxa" w:w="23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Yıl 5 (Ay 67–78)</w:t>
            </w:r>
          </w:p>
        </w:tc>
        <w:tc>
          <w:tcPr>
            <w:tcW w:type="dxa" w:w="222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1.839.534</w:t>
            </w:r>
          </w:p>
        </w:tc>
        <w:tc>
          <w:tcPr>
            <w:tcW w:type="dxa" w:w="222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325.200</w:t>
            </w:r>
          </w:p>
        </w:tc>
        <w:tc>
          <w:tcPr>
            <w:tcW w:type="dxa" w:w="17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317.612</w:t>
            </w:r>
          </w:p>
        </w:tc>
        <w:tc>
          <w:tcPr>
            <w:tcW w:type="dxa" w:w="20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204.872</w:t>
            </w:r>
          </w:p>
        </w:tc>
        <w:tc>
          <w:tcPr>
            <w:tcW w:type="dxa" w:w="163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119.467</w:t>
            </w:r>
          </w:p>
        </w:tc>
        <w:tc>
          <w:tcPr>
            <w:tcW w:type="dxa" w:w="118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0</w:t>
            </w:r>
          </w:p>
        </w:tc>
        <w:tc>
          <w:tcPr>
            <w:tcW w:type="dxa" w:w="133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2.806.684</w:t>
            </w:r>
          </w:p>
        </w:tc>
      </w:tr>
      <w:tr>
        <w:trPr>
          <w:cantSplit/>
          <w:tblHeader w:val="off"/>
        </w:trPr>
        <w:tc>
          <w:tcPr>
            <w:tcW w:type="dxa" w:w="23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b/>
                <w:bCs/>
                <w:sz w:val="17"/>
                <w:szCs w:val="17"/>
              </w:rPr>
              <w:t xml:space="preserve">78 ay toplamı</w:t>
            </w:r>
          </w:p>
        </w:tc>
        <w:tc>
          <w:tcPr>
            <w:tcW w:type="dxa" w:w="222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b/>
                <w:bCs/>
                <w:sz w:val="17"/>
                <w:szCs w:val="17"/>
              </w:rPr>
              <w:t xml:space="preserve">9.532.519</w:t>
            </w:r>
          </w:p>
        </w:tc>
        <w:tc>
          <w:tcPr>
            <w:tcW w:type="dxa" w:w="222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b/>
                <w:bCs/>
                <w:sz w:val="17"/>
                <w:szCs w:val="17"/>
              </w:rPr>
              <w:t xml:space="preserve">2.181.064</w:t>
            </w:r>
          </w:p>
        </w:tc>
        <w:tc>
          <w:tcPr>
            <w:tcW w:type="dxa" w:w="17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b/>
                <w:bCs/>
                <w:sz w:val="17"/>
                <w:szCs w:val="17"/>
              </w:rPr>
              <w:t xml:space="preserve">1.618.765</w:t>
            </w:r>
          </w:p>
        </w:tc>
        <w:tc>
          <w:tcPr>
            <w:tcW w:type="dxa" w:w="20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b/>
                <w:bCs/>
                <w:sz w:val="17"/>
                <w:szCs w:val="17"/>
              </w:rPr>
              <w:t xml:space="preserve">1.185.439</w:t>
            </w:r>
          </w:p>
        </w:tc>
        <w:tc>
          <w:tcPr>
            <w:tcW w:type="dxa" w:w="163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b/>
                <w:bCs/>
                <w:sz w:val="17"/>
                <w:szCs w:val="17"/>
              </w:rPr>
              <w:t xml:space="preserve">759.590</w:t>
            </w:r>
          </w:p>
        </w:tc>
        <w:tc>
          <w:tcPr>
            <w:tcW w:type="dxa" w:w="118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b/>
                <w:bCs/>
                <w:sz w:val="17"/>
                <w:szCs w:val="17"/>
              </w:rPr>
              <w:t xml:space="preserve">75.000</w:t>
            </w:r>
          </w:p>
        </w:tc>
        <w:tc>
          <w:tcPr>
            <w:tcW w:type="dxa" w:w="133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b/>
                <w:bCs/>
                <w:sz w:val="17"/>
                <w:szCs w:val="17"/>
              </w:rPr>
              <w:t xml:space="preserve">15.352.377</w:t>
            </w:r>
          </w:p>
        </w:tc>
      </w:tr>
    </w:tbl>
    <w:p>
      <w:pPr>
        <w:spacing w:after="60"/>
      </w:pPr>
    </w:p>
    <w:p>
      <w:pPr>
        <w:spacing w:after="100" w:before="40"/>
      </w:pPr>
      <w:r>
        <w:rPr>
          <w:rFonts w:ascii="Arial" w:cs="Arial" w:eastAsia="Arial" w:hAnsi="Arial"/>
          <w:i/>
          <w:iCs/>
          <w:color w:val="595959"/>
          <w:sz w:val="16"/>
          <w:szCs w:val="16"/>
        </w:rPr>
        <w:t xml:space="preserve">Not: Kalem toplamları Ek-D Tablo D-1b ve D-5 ile aynıdır. Dönem değerleri yuvarlama nedeniyle toplamdan ±1 TL farklı olabilir.</w:t>
      </w:r>
    </w:p>
    <w:p>
      <w:r>
        <w:br w:type="page"/>
      </w:r>
    </w:p>
    <w:p>
      <w:pPr>
        <w:pStyle w:val="Heading1"/>
        <w:keepNext/>
        <w:spacing w:after="100" w:before="260"/>
      </w:pPr>
      <w:r>
        <w:rPr>
          <w:rFonts w:ascii="Arial" w:cs="Arial" w:eastAsia="Arial" w:hAnsi="Arial"/>
          <w:b/>
          <w:bCs/>
          <w:i w:val="false"/>
          <w:iCs w:val="false"/>
          <w:color w:val="000000"/>
          <w:sz w:val="26"/>
          <w:szCs w:val="26"/>
        </w:rPr>
        <w:t xml:space="preserve">E.5 Aylık nakit akışı: proje dönemi (Ay 1–18)</w:t>
      </w:r>
    </w:p>
    <w:p>
      <w:pPr>
        <w:keepNext/>
        <w:spacing w:after="60" w:before="140"/>
      </w:pPr>
      <w:r>
        <w:rPr>
          <w:rFonts w:ascii="Arial" w:cs="Arial" w:eastAsia="Arial" w:hAnsi="Arial"/>
          <w:b/>
          <w:bCs/>
          <w:sz w:val="18"/>
          <w:szCs w:val="18"/>
        </w:rPr>
        <w:t xml:space="preserve">Tablo E-3. Aylık gider, katkı payı ve ay sonu nakit, yalnız kesin finansmanla (TL, KDV hariç)</w:t>
      </w:r>
    </w:p>
    <w:tbl>
      <w:tblPr>
        <w:tblW w:type="dxa" w:w="14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8"/>
        <w:gridCol w:w="1362"/>
        <w:gridCol w:w="1211"/>
        <w:gridCol w:w="1514"/>
        <w:gridCol w:w="1211"/>
        <w:gridCol w:w="1362"/>
        <w:gridCol w:w="1211"/>
        <w:gridCol w:w="1059"/>
        <w:gridCol w:w="1211"/>
        <w:gridCol w:w="1059"/>
        <w:gridCol w:w="1362"/>
        <w:gridCol w:w="1368"/>
      </w:tblGrid>
      <w:tr>
        <w:trPr>
          <w:cantSplit/>
          <w:tblHeader/>
        </w:trPr>
        <w:tc>
          <w:tcPr>
            <w:tcW w:type="dxa" w:w="908"/>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Ay</w:t>
            </w:r>
          </w:p>
        </w:tc>
        <w:tc>
          <w:tcPr>
            <w:tcW w:type="dxa" w:w="1362"/>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Takvim</w:t>
            </w:r>
          </w:p>
        </w:tc>
        <w:tc>
          <w:tcPr>
            <w:tcW w:type="dxa" w:w="1211"/>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Personel ve SGK</w:t>
            </w:r>
          </w:p>
        </w:tc>
        <w:tc>
          <w:tcPr>
            <w:tcW w:type="dxa" w:w="1514"/>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Yönetim, danışmanlık, tek seferlik</w:t>
            </w:r>
          </w:p>
        </w:tc>
        <w:tc>
          <w:tcPr>
            <w:tcW w:type="dxa" w:w="1211"/>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Canlı trafik lisansı</w:t>
            </w:r>
          </w:p>
        </w:tc>
        <w:tc>
          <w:tcPr>
            <w:tcW w:type="dxa" w:w="1362"/>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Pazarlama ve filo kurulumu</w:t>
            </w:r>
          </w:p>
        </w:tc>
        <w:tc>
          <w:tcPr>
            <w:tcW w:type="dxa" w:w="1211"/>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Sunucu ve altyapı</w:t>
            </w:r>
          </w:p>
        </w:tc>
        <w:tc>
          <w:tcPr>
            <w:tcW w:type="dxa" w:w="1059"/>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Teçhizat</w:t>
            </w:r>
          </w:p>
        </w:tc>
        <w:tc>
          <w:tcPr>
            <w:tcW w:type="dxa" w:w="1211"/>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Sabit gider</w:t>
            </w:r>
          </w:p>
        </w:tc>
        <w:tc>
          <w:tcPr>
            <w:tcW w:type="dxa" w:w="1059"/>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Katkı payı</w:t>
            </w:r>
          </w:p>
        </w:tc>
        <w:tc>
          <w:tcPr>
            <w:tcW w:type="dxa" w:w="1362"/>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Net nakit akışı</w:t>
            </w:r>
          </w:p>
        </w:tc>
        <w:tc>
          <w:tcPr>
            <w:tcW w:type="dxa" w:w="1368"/>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Ay sonu nakit</w:t>
            </w:r>
          </w:p>
        </w:tc>
      </w:tr>
      <w:tr>
        <w:trPr>
          <w:cantSplit/>
          <w:tblHeader w:val="off"/>
        </w:trPr>
        <w:tc>
          <w:tcPr>
            <w:tcW w:type="dxa" w:w="90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w:t>
            </w:r>
          </w:p>
        </w:tc>
        <w:tc>
          <w:tcPr>
            <w:tcW w:type="dxa" w:w="136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Ocak 2027</w:t>
            </w:r>
          </w:p>
        </w:tc>
        <w:tc>
          <w:tcPr>
            <w:tcW w:type="dxa" w:w="121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77.709</w:t>
            </w:r>
          </w:p>
        </w:tc>
        <w:tc>
          <w:tcPr>
            <w:tcW w:type="dxa" w:w="15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50.951</w:t>
            </w:r>
          </w:p>
        </w:tc>
        <w:tc>
          <w:tcPr>
            <w:tcW w:type="dxa" w:w="121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0</w:t>
            </w:r>
          </w:p>
        </w:tc>
        <w:tc>
          <w:tcPr>
            <w:tcW w:type="dxa" w:w="136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5.000</w:t>
            </w:r>
          </w:p>
        </w:tc>
        <w:tc>
          <w:tcPr>
            <w:tcW w:type="dxa" w:w="121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6.942</w:t>
            </w:r>
          </w:p>
        </w:tc>
        <w:tc>
          <w:tcPr>
            <w:tcW w:type="dxa" w:w="105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0</w:t>
            </w:r>
          </w:p>
        </w:tc>
        <w:tc>
          <w:tcPr>
            <w:tcW w:type="dxa" w:w="121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140.603</w:t>
            </w:r>
          </w:p>
        </w:tc>
        <w:tc>
          <w:tcPr>
            <w:tcW w:type="dxa" w:w="105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5.292</w:t>
            </w:r>
          </w:p>
        </w:tc>
        <w:tc>
          <w:tcPr>
            <w:tcW w:type="dxa" w:w="136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−135.311</w:t>
            </w:r>
          </w:p>
        </w:tc>
        <w:tc>
          <w:tcPr>
            <w:tcW w:type="dxa" w:w="136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1.457.189</w:t>
            </w:r>
          </w:p>
        </w:tc>
      </w:tr>
      <w:tr>
        <w:trPr>
          <w:cantSplit/>
          <w:tblHeader w:val="off"/>
        </w:trPr>
        <w:tc>
          <w:tcPr>
            <w:tcW w:type="dxa" w:w="90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w:t>
            </w:r>
          </w:p>
        </w:tc>
        <w:tc>
          <w:tcPr>
            <w:tcW w:type="dxa" w:w="136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Şubat 2027</w:t>
            </w:r>
          </w:p>
        </w:tc>
        <w:tc>
          <w:tcPr>
            <w:tcW w:type="dxa" w:w="121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77.838</w:t>
            </w:r>
          </w:p>
        </w:tc>
        <w:tc>
          <w:tcPr>
            <w:tcW w:type="dxa" w:w="15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28.301</w:t>
            </w:r>
          </w:p>
        </w:tc>
        <w:tc>
          <w:tcPr>
            <w:tcW w:type="dxa" w:w="121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0</w:t>
            </w:r>
          </w:p>
        </w:tc>
        <w:tc>
          <w:tcPr>
            <w:tcW w:type="dxa" w:w="136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5.000</w:t>
            </w:r>
          </w:p>
        </w:tc>
        <w:tc>
          <w:tcPr>
            <w:tcW w:type="dxa" w:w="121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6.931</w:t>
            </w:r>
          </w:p>
        </w:tc>
        <w:tc>
          <w:tcPr>
            <w:tcW w:type="dxa" w:w="105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75.000</w:t>
            </w:r>
          </w:p>
        </w:tc>
        <w:tc>
          <w:tcPr>
            <w:tcW w:type="dxa" w:w="121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193.069</w:t>
            </w:r>
          </w:p>
        </w:tc>
        <w:tc>
          <w:tcPr>
            <w:tcW w:type="dxa" w:w="105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5.292</w:t>
            </w:r>
          </w:p>
        </w:tc>
        <w:tc>
          <w:tcPr>
            <w:tcW w:type="dxa" w:w="136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−187.778</w:t>
            </w:r>
          </w:p>
        </w:tc>
        <w:tc>
          <w:tcPr>
            <w:tcW w:type="dxa" w:w="136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1.269.411</w:t>
            </w:r>
          </w:p>
        </w:tc>
      </w:tr>
      <w:tr>
        <w:trPr>
          <w:cantSplit/>
          <w:tblHeader w:val="off"/>
        </w:trPr>
        <w:tc>
          <w:tcPr>
            <w:tcW w:type="dxa" w:w="90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w:t>
            </w:r>
          </w:p>
        </w:tc>
        <w:tc>
          <w:tcPr>
            <w:tcW w:type="dxa" w:w="136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Mart 2027</w:t>
            </w:r>
          </w:p>
        </w:tc>
        <w:tc>
          <w:tcPr>
            <w:tcW w:type="dxa" w:w="121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77.966</w:t>
            </w:r>
          </w:p>
        </w:tc>
        <w:tc>
          <w:tcPr>
            <w:tcW w:type="dxa" w:w="15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69.301</w:t>
            </w:r>
          </w:p>
        </w:tc>
        <w:tc>
          <w:tcPr>
            <w:tcW w:type="dxa" w:w="121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3.240</w:t>
            </w:r>
          </w:p>
        </w:tc>
        <w:tc>
          <w:tcPr>
            <w:tcW w:type="dxa" w:w="136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5.000</w:t>
            </w:r>
          </w:p>
        </w:tc>
        <w:tc>
          <w:tcPr>
            <w:tcW w:type="dxa" w:w="121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6.919</w:t>
            </w:r>
          </w:p>
        </w:tc>
        <w:tc>
          <w:tcPr>
            <w:tcW w:type="dxa" w:w="105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0</w:t>
            </w:r>
          </w:p>
        </w:tc>
        <w:tc>
          <w:tcPr>
            <w:tcW w:type="dxa" w:w="121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162.426</w:t>
            </w:r>
          </w:p>
        </w:tc>
        <w:tc>
          <w:tcPr>
            <w:tcW w:type="dxa" w:w="105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5.292</w:t>
            </w:r>
          </w:p>
        </w:tc>
        <w:tc>
          <w:tcPr>
            <w:tcW w:type="dxa" w:w="136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−157.135</w:t>
            </w:r>
          </w:p>
        </w:tc>
        <w:tc>
          <w:tcPr>
            <w:tcW w:type="dxa" w:w="136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1.112.276</w:t>
            </w:r>
          </w:p>
        </w:tc>
      </w:tr>
      <w:tr>
        <w:trPr>
          <w:cantSplit/>
          <w:tblHeader w:val="off"/>
        </w:trPr>
        <w:tc>
          <w:tcPr>
            <w:tcW w:type="dxa" w:w="90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4</w:t>
            </w:r>
          </w:p>
        </w:tc>
        <w:tc>
          <w:tcPr>
            <w:tcW w:type="dxa" w:w="136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Nisan 2027</w:t>
            </w:r>
          </w:p>
        </w:tc>
        <w:tc>
          <w:tcPr>
            <w:tcW w:type="dxa" w:w="121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78.095</w:t>
            </w:r>
          </w:p>
        </w:tc>
        <w:tc>
          <w:tcPr>
            <w:tcW w:type="dxa" w:w="15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38.301</w:t>
            </w:r>
          </w:p>
        </w:tc>
        <w:tc>
          <w:tcPr>
            <w:tcW w:type="dxa" w:w="121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3.234</w:t>
            </w:r>
          </w:p>
        </w:tc>
        <w:tc>
          <w:tcPr>
            <w:tcW w:type="dxa" w:w="136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5.000</w:t>
            </w:r>
          </w:p>
        </w:tc>
        <w:tc>
          <w:tcPr>
            <w:tcW w:type="dxa" w:w="121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6.908</w:t>
            </w:r>
          </w:p>
        </w:tc>
        <w:tc>
          <w:tcPr>
            <w:tcW w:type="dxa" w:w="105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0</w:t>
            </w:r>
          </w:p>
        </w:tc>
        <w:tc>
          <w:tcPr>
            <w:tcW w:type="dxa" w:w="121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131.538</w:t>
            </w:r>
          </w:p>
        </w:tc>
        <w:tc>
          <w:tcPr>
            <w:tcW w:type="dxa" w:w="105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5.292</w:t>
            </w:r>
          </w:p>
        </w:tc>
        <w:tc>
          <w:tcPr>
            <w:tcW w:type="dxa" w:w="136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−126.247</w:t>
            </w:r>
          </w:p>
        </w:tc>
        <w:tc>
          <w:tcPr>
            <w:tcW w:type="dxa" w:w="136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986.029</w:t>
            </w:r>
          </w:p>
        </w:tc>
      </w:tr>
      <w:tr>
        <w:trPr>
          <w:cantSplit/>
          <w:tblHeader w:val="off"/>
        </w:trPr>
        <w:tc>
          <w:tcPr>
            <w:tcW w:type="dxa" w:w="90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5</w:t>
            </w:r>
          </w:p>
        </w:tc>
        <w:tc>
          <w:tcPr>
            <w:tcW w:type="dxa" w:w="136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Mayıs 2027</w:t>
            </w:r>
          </w:p>
        </w:tc>
        <w:tc>
          <w:tcPr>
            <w:tcW w:type="dxa" w:w="121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78.224</w:t>
            </w:r>
          </w:p>
        </w:tc>
        <w:tc>
          <w:tcPr>
            <w:tcW w:type="dxa" w:w="15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38.301</w:t>
            </w:r>
          </w:p>
        </w:tc>
        <w:tc>
          <w:tcPr>
            <w:tcW w:type="dxa" w:w="121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3.229</w:t>
            </w:r>
          </w:p>
        </w:tc>
        <w:tc>
          <w:tcPr>
            <w:tcW w:type="dxa" w:w="136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5.000</w:t>
            </w:r>
          </w:p>
        </w:tc>
        <w:tc>
          <w:tcPr>
            <w:tcW w:type="dxa" w:w="121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6.896</w:t>
            </w:r>
          </w:p>
        </w:tc>
        <w:tc>
          <w:tcPr>
            <w:tcW w:type="dxa" w:w="105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0</w:t>
            </w:r>
          </w:p>
        </w:tc>
        <w:tc>
          <w:tcPr>
            <w:tcW w:type="dxa" w:w="121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131.650</w:t>
            </w:r>
          </w:p>
        </w:tc>
        <w:tc>
          <w:tcPr>
            <w:tcW w:type="dxa" w:w="105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5.292</w:t>
            </w:r>
          </w:p>
        </w:tc>
        <w:tc>
          <w:tcPr>
            <w:tcW w:type="dxa" w:w="136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−126.359</w:t>
            </w:r>
          </w:p>
        </w:tc>
        <w:tc>
          <w:tcPr>
            <w:tcW w:type="dxa" w:w="136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859.670</w:t>
            </w:r>
          </w:p>
        </w:tc>
      </w:tr>
      <w:tr>
        <w:trPr>
          <w:cantSplit/>
          <w:tblHeader w:val="off"/>
        </w:trPr>
        <w:tc>
          <w:tcPr>
            <w:tcW w:type="dxa" w:w="90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6</w:t>
            </w:r>
          </w:p>
        </w:tc>
        <w:tc>
          <w:tcPr>
            <w:tcW w:type="dxa" w:w="136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Haziran 2027</w:t>
            </w:r>
          </w:p>
        </w:tc>
        <w:tc>
          <w:tcPr>
            <w:tcW w:type="dxa" w:w="121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78.353</w:t>
            </w:r>
          </w:p>
        </w:tc>
        <w:tc>
          <w:tcPr>
            <w:tcW w:type="dxa" w:w="15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38.301</w:t>
            </w:r>
          </w:p>
        </w:tc>
        <w:tc>
          <w:tcPr>
            <w:tcW w:type="dxa" w:w="121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3.224</w:t>
            </w:r>
          </w:p>
        </w:tc>
        <w:tc>
          <w:tcPr>
            <w:tcW w:type="dxa" w:w="136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5.000</w:t>
            </w:r>
          </w:p>
        </w:tc>
        <w:tc>
          <w:tcPr>
            <w:tcW w:type="dxa" w:w="121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6.885</w:t>
            </w:r>
          </w:p>
        </w:tc>
        <w:tc>
          <w:tcPr>
            <w:tcW w:type="dxa" w:w="105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0</w:t>
            </w:r>
          </w:p>
        </w:tc>
        <w:tc>
          <w:tcPr>
            <w:tcW w:type="dxa" w:w="121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131.763</w:t>
            </w:r>
          </w:p>
        </w:tc>
        <w:tc>
          <w:tcPr>
            <w:tcW w:type="dxa" w:w="105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5.292</w:t>
            </w:r>
          </w:p>
        </w:tc>
        <w:tc>
          <w:tcPr>
            <w:tcW w:type="dxa" w:w="136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−126.471</w:t>
            </w:r>
          </w:p>
        </w:tc>
        <w:tc>
          <w:tcPr>
            <w:tcW w:type="dxa" w:w="136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733.199</w:t>
            </w:r>
          </w:p>
        </w:tc>
      </w:tr>
      <w:tr>
        <w:trPr>
          <w:cantSplit/>
          <w:tblHeader w:val="off"/>
        </w:trPr>
        <w:tc>
          <w:tcPr>
            <w:tcW w:type="dxa" w:w="90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7</w:t>
            </w:r>
          </w:p>
        </w:tc>
        <w:tc>
          <w:tcPr>
            <w:tcW w:type="dxa" w:w="136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Temmuz 2027</w:t>
            </w:r>
          </w:p>
        </w:tc>
        <w:tc>
          <w:tcPr>
            <w:tcW w:type="dxa" w:w="121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78.483</w:t>
            </w:r>
          </w:p>
        </w:tc>
        <w:tc>
          <w:tcPr>
            <w:tcW w:type="dxa" w:w="15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24.301</w:t>
            </w:r>
          </w:p>
        </w:tc>
        <w:tc>
          <w:tcPr>
            <w:tcW w:type="dxa" w:w="121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3.218</w:t>
            </w:r>
          </w:p>
        </w:tc>
        <w:tc>
          <w:tcPr>
            <w:tcW w:type="dxa" w:w="136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5.000</w:t>
            </w:r>
          </w:p>
        </w:tc>
        <w:tc>
          <w:tcPr>
            <w:tcW w:type="dxa" w:w="121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6.874</w:t>
            </w:r>
          </w:p>
        </w:tc>
        <w:tc>
          <w:tcPr>
            <w:tcW w:type="dxa" w:w="105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0</w:t>
            </w:r>
          </w:p>
        </w:tc>
        <w:tc>
          <w:tcPr>
            <w:tcW w:type="dxa" w:w="121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117.876</w:t>
            </w:r>
          </w:p>
        </w:tc>
        <w:tc>
          <w:tcPr>
            <w:tcW w:type="dxa" w:w="105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5.292</w:t>
            </w:r>
          </w:p>
        </w:tc>
        <w:tc>
          <w:tcPr>
            <w:tcW w:type="dxa" w:w="136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−112.584</w:t>
            </w:r>
          </w:p>
        </w:tc>
        <w:tc>
          <w:tcPr>
            <w:tcW w:type="dxa" w:w="136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620.615</w:t>
            </w:r>
          </w:p>
        </w:tc>
      </w:tr>
      <w:tr>
        <w:trPr>
          <w:cantSplit/>
          <w:tblHeader w:val="off"/>
        </w:trPr>
        <w:tc>
          <w:tcPr>
            <w:tcW w:type="dxa" w:w="90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8</w:t>
            </w:r>
          </w:p>
        </w:tc>
        <w:tc>
          <w:tcPr>
            <w:tcW w:type="dxa" w:w="136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Ağustos 2027</w:t>
            </w:r>
          </w:p>
        </w:tc>
        <w:tc>
          <w:tcPr>
            <w:tcW w:type="dxa" w:w="121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78.612</w:t>
            </w:r>
          </w:p>
        </w:tc>
        <w:tc>
          <w:tcPr>
            <w:tcW w:type="dxa" w:w="15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24.301</w:t>
            </w:r>
          </w:p>
        </w:tc>
        <w:tc>
          <w:tcPr>
            <w:tcW w:type="dxa" w:w="121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3.213</w:t>
            </w:r>
          </w:p>
        </w:tc>
        <w:tc>
          <w:tcPr>
            <w:tcW w:type="dxa" w:w="136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5.000</w:t>
            </w:r>
          </w:p>
        </w:tc>
        <w:tc>
          <w:tcPr>
            <w:tcW w:type="dxa" w:w="121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6.862</w:t>
            </w:r>
          </w:p>
        </w:tc>
        <w:tc>
          <w:tcPr>
            <w:tcW w:type="dxa" w:w="105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0</w:t>
            </w:r>
          </w:p>
        </w:tc>
        <w:tc>
          <w:tcPr>
            <w:tcW w:type="dxa" w:w="121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117.989</w:t>
            </w:r>
          </w:p>
        </w:tc>
        <w:tc>
          <w:tcPr>
            <w:tcW w:type="dxa" w:w="105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5.292</w:t>
            </w:r>
          </w:p>
        </w:tc>
        <w:tc>
          <w:tcPr>
            <w:tcW w:type="dxa" w:w="136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−112.697</w:t>
            </w:r>
          </w:p>
        </w:tc>
        <w:tc>
          <w:tcPr>
            <w:tcW w:type="dxa" w:w="136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507.918</w:t>
            </w:r>
          </w:p>
        </w:tc>
      </w:tr>
      <w:tr>
        <w:trPr>
          <w:cantSplit/>
          <w:tblHeader w:val="off"/>
        </w:trPr>
        <w:tc>
          <w:tcPr>
            <w:tcW w:type="dxa" w:w="90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9</w:t>
            </w:r>
          </w:p>
        </w:tc>
        <w:tc>
          <w:tcPr>
            <w:tcW w:type="dxa" w:w="136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Eylül 2027</w:t>
            </w:r>
          </w:p>
        </w:tc>
        <w:tc>
          <w:tcPr>
            <w:tcW w:type="dxa" w:w="121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78.742</w:t>
            </w:r>
          </w:p>
        </w:tc>
        <w:tc>
          <w:tcPr>
            <w:tcW w:type="dxa" w:w="15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24.301</w:t>
            </w:r>
          </w:p>
        </w:tc>
        <w:tc>
          <w:tcPr>
            <w:tcW w:type="dxa" w:w="121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3.208</w:t>
            </w:r>
          </w:p>
        </w:tc>
        <w:tc>
          <w:tcPr>
            <w:tcW w:type="dxa" w:w="136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10.000</w:t>
            </w:r>
          </w:p>
        </w:tc>
        <w:tc>
          <w:tcPr>
            <w:tcW w:type="dxa" w:w="121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8.319</w:t>
            </w:r>
          </w:p>
        </w:tc>
        <w:tc>
          <w:tcPr>
            <w:tcW w:type="dxa" w:w="105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0</w:t>
            </w:r>
          </w:p>
        </w:tc>
        <w:tc>
          <w:tcPr>
            <w:tcW w:type="dxa" w:w="121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124.570</w:t>
            </w:r>
          </w:p>
        </w:tc>
        <w:tc>
          <w:tcPr>
            <w:tcW w:type="dxa" w:w="105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5.292</w:t>
            </w:r>
          </w:p>
        </w:tc>
        <w:tc>
          <w:tcPr>
            <w:tcW w:type="dxa" w:w="136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−119.278</w:t>
            </w:r>
          </w:p>
        </w:tc>
        <w:tc>
          <w:tcPr>
            <w:tcW w:type="dxa" w:w="136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388.640</w:t>
            </w:r>
          </w:p>
        </w:tc>
      </w:tr>
      <w:tr>
        <w:trPr>
          <w:cantSplit/>
          <w:tblHeader w:val="off"/>
        </w:trPr>
        <w:tc>
          <w:tcPr>
            <w:tcW w:type="dxa" w:w="90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10</w:t>
            </w:r>
          </w:p>
        </w:tc>
        <w:tc>
          <w:tcPr>
            <w:tcW w:type="dxa" w:w="136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Ekim 2027</w:t>
            </w:r>
          </w:p>
        </w:tc>
        <w:tc>
          <w:tcPr>
            <w:tcW w:type="dxa" w:w="121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78.872</w:t>
            </w:r>
          </w:p>
        </w:tc>
        <w:tc>
          <w:tcPr>
            <w:tcW w:type="dxa" w:w="15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24.301</w:t>
            </w:r>
          </w:p>
        </w:tc>
        <w:tc>
          <w:tcPr>
            <w:tcW w:type="dxa" w:w="121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3.203</w:t>
            </w:r>
          </w:p>
        </w:tc>
        <w:tc>
          <w:tcPr>
            <w:tcW w:type="dxa" w:w="136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15.000</w:t>
            </w:r>
          </w:p>
        </w:tc>
        <w:tc>
          <w:tcPr>
            <w:tcW w:type="dxa" w:w="121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8.305</w:t>
            </w:r>
          </w:p>
        </w:tc>
        <w:tc>
          <w:tcPr>
            <w:tcW w:type="dxa" w:w="105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0</w:t>
            </w:r>
          </w:p>
        </w:tc>
        <w:tc>
          <w:tcPr>
            <w:tcW w:type="dxa" w:w="121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129.681</w:t>
            </w:r>
          </w:p>
        </w:tc>
        <w:tc>
          <w:tcPr>
            <w:tcW w:type="dxa" w:w="105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5.292</w:t>
            </w:r>
          </w:p>
        </w:tc>
        <w:tc>
          <w:tcPr>
            <w:tcW w:type="dxa" w:w="136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−124.389</w:t>
            </w:r>
          </w:p>
        </w:tc>
        <w:tc>
          <w:tcPr>
            <w:tcW w:type="dxa" w:w="136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264.250</w:t>
            </w:r>
          </w:p>
        </w:tc>
      </w:tr>
      <w:tr>
        <w:trPr>
          <w:cantSplit/>
          <w:tblHeader w:val="off"/>
        </w:trPr>
        <w:tc>
          <w:tcPr>
            <w:tcW w:type="dxa" w:w="90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11</w:t>
            </w:r>
          </w:p>
        </w:tc>
        <w:tc>
          <w:tcPr>
            <w:tcW w:type="dxa" w:w="136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Kasım 2027</w:t>
            </w:r>
          </w:p>
        </w:tc>
        <w:tc>
          <w:tcPr>
            <w:tcW w:type="dxa" w:w="121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79.003</w:t>
            </w:r>
          </w:p>
        </w:tc>
        <w:tc>
          <w:tcPr>
            <w:tcW w:type="dxa" w:w="15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24.301</w:t>
            </w:r>
          </w:p>
        </w:tc>
        <w:tc>
          <w:tcPr>
            <w:tcW w:type="dxa" w:w="121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3.197</w:t>
            </w:r>
          </w:p>
        </w:tc>
        <w:tc>
          <w:tcPr>
            <w:tcW w:type="dxa" w:w="136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15.000</w:t>
            </w:r>
          </w:p>
        </w:tc>
        <w:tc>
          <w:tcPr>
            <w:tcW w:type="dxa" w:w="121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8.291</w:t>
            </w:r>
          </w:p>
        </w:tc>
        <w:tc>
          <w:tcPr>
            <w:tcW w:type="dxa" w:w="105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0</w:t>
            </w:r>
          </w:p>
        </w:tc>
        <w:tc>
          <w:tcPr>
            <w:tcW w:type="dxa" w:w="121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129.792</w:t>
            </w:r>
          </w:p>
        </w:tc>
        <w:tc>
          <w:tcPr>
            <w:tcW w:type="dxa" w:w="105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5.292</w:t>
            </w:r>
          </w:p>
        </w:tc>
        <w:tc>
          <w:tcPr>
            <w:tcW w:type="dxa" w:w="136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−124.500</w:t>
            </w:r>
          </w:p>
        </w:tc>
        <w:tc>
          <w:tcPr>
            <w:tcW w:type="dxa" w:w="136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139.750</w:t>
            </w:r>
          </w:p>
        </w:tc>
      </w:tr>
      <w:tr>
        <w:trPr>
          <w:cantSplit/>
          <w:tblHeader w:val="off"/>
        </w:trPr>
        <w:tc>
          <w:tcPr>
            <w:tcW w:type="dxa" w:w="90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12</w:t>
            </w:r>
          </w:p>
        </w:tc>
        <w:tc>
          <w:tcPr>
            <w:tcW w:type="dxa" w:w="136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Aralık 2027</w:t>
            </w:r>
          </w:p>
        </w:tc>
        <w:tc>
          <w:tcPr>
            <w:tcW w:type="dxa" w:w="121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79.133</w:t>
            </w:r>
          </w:p>
        </w:tc>
        <w:tc>
          <w:tcPr>
            <w:tcW w:type="dxa" w:w="15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24.301</w:t>
            </w:r>
          </w:p>
        </w:tc>
        <w:tc>
          <w:tcPr>
            <w:tcW w:type="dxa" w:w="121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3.192</w:t>
            </w:r>
          </w:p>
        </w:tc>
        <w:tc>
          <w:tcPr>
            <w:tcW w:type="dxa" w:w="136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15.000</w:t>
            </w:r>
          </w:p>
        </w:tc>
        <w:tc>
          <w:tcPr>
            <w:tcW w:type="dxa" w:w="121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8.278</w:t>
            </w:r>
          </w:p>
        </w:tc>
        <w:tc>
          <w:tcPr>
            <w:tcW w:type="dxa" w:w="105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0</w:t>
            </w:r>
          </w:p>
        </w:tc>
        <w:tc>
          <w:tcPr>
            <w:tcW w:type="dxa" w:w="121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129.903</w:t>
            </w:r>
          </w:p>
        </w:tc>
        <w:tc>
          <w:tcPr>
            <w:tcW w:type="dxa" w:w="105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5.292</w:t>
            </w:r>
          </w:p>
        </w:tc>
        <w:tc>
          <w:tcPr>
            <w:tcW w:type="dxa" w:w="136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−124.612</w:t>
            </w:r>
          </w:p>
        </w:tc>
        <w:tc>
          <w:tcPr>
            <w:tcW w:type="dxa" w:w="136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15.138</w:t>
            </w:r>
          </w:p>
        </w:tc>
      </w:tr>
      <w:tr>
        <w:trPr>
          <w:cantSplit/>
          <w:tblHeader w:val="off"/>
        </w:trPr>
        <w:tc>
          <w:tcPr>
            <w:tcW w:type="dxa" w:w="90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13</w:t>
            </w:r>
          </w:p>
        </w:tc>
        <w:tc>
          <w:tcPr>
            <w:tcW w:type="dxa" w:w="136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Ocak 2028</w:t>
            </w:r>
          </w:p>
        </w:tc>
        <w:tc>
          <w:tcPr>
            <w:tcW w:type="dxa" w:w="121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79.264</w:t>
            </w:r>
          </w:p>
        </w:tc>
        <w:tc>
          <w:tcPr>
            <w:tcW w:type="dxa" w:w="15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24.301</w:t>
            </w:r>
          </w:p>
        </w:tc>
        <w:tc>
          <w:tcPr>
            <w:tcW w:type="dxa" w:w="121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3.187</w:t>
            </w:r>
          </w:p>
        </w:tc>
        <w:tc>
          <w:tcPr>
            <w:tcW w:type="dxa" w:w="136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17.317</w:t>
            </w:r>
          </w:p>
        </w:tc>
        <w:tc>
          <w:tcPr>
            <w:tcW w:type="dxa" w:w="121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8.264</w:t>
            </w:r>
          </w:p>
        </w:tc>
        <w:tc>
          <w:tcPr>
            <w:tcW w:type="dxa" w:w="105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0</w:t>
            </w:r>
          </w:p>
        </w:tc>
        <w:tc>
          <w:tcPr>
            <w:tcW w:type="dxa" w:w="121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132.332</w:t>
            </w:r>
          </w:p>
        </w:tc>
        <w:tc>
          <w:tcPr>
            <w:tcW w:type="dxa" w:w="105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5.292</w:t>
            </w:r>
          </w:p>
        </w:tc>
        <w:tc>
          <w:tcPr>
            <w:tcW w:type="dxa" w:w="136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−127.041</w:t>
            </w:r>
          </w:p>
        </w:tc>
        <w:tc>
          <w:tcPr>
            <w:tcW w:type="dxa" w:w="136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−111.903</w:t>
            </w:r>
          </w:p>
        </w:tc>
      </w:tr>
      <w:tr>
        <w:trPr>
          <w:cantSplit/>
          <w:tblHeader w:val="off"/>
        </w:trPr>
        <w:tc>
          <w:tcPr>
            <w:tcW w:type="dxa" w:w="90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14</w:t>
            </w:r>
          </w:p>
        </w:tc>
        <w:tc>
          <w:tcPr>
            <w:tcW w:type="dxa" w:w="136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Şubat 2028</w:t>
            </w:r>
          </w:p>
        </w:tc>
        <w:tc>
          <w:tcPr>
            <w:tcW w:type="dxa" w:w="121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79.395</w:t>
            </w:r>
          </w:p>
        </w:tc>
        <w:tc>
          <w:tcPr>
            <w:tcW w:type="dxa" w:w="15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24.301</w:t>
            </w:r>
          </w:p>
        </w:tc>
        <w:tc>
          <w:tcPr>
            <w:tcW w:type="dxa" w:w="121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3.181</w:t>
            </w:r>
          </w:p>
        </w:tc>
        <w:tc>
          <w:tcPr>
            <w:tcW w:type="dxa" w:w="136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15.331</w:t>
            </w:r>
          </w:p>
        </w:tc>
        <w:tc>
          <w:tcPr>
            <w:tcW w:type="dxa" w:w="121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8.250</w:t>
            </w:r>
          </w:p>
        </w:tc>
        <w:tc>
          <w:tcPr>
            <w:tcW w:type="dxa" w:w="105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0</w:t>
            </w:r>
          </w:p>
        </w:tc>
        <w:tc>
          <w:tcPr>
            <w:tcW w:type="dxa" w:w="121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130.458</w:t>
            </w:r>
          </w:p>
        </w:tc>
        <w:tc>
          <w:tcPr>
            <w:tcW w:type="dxa" w:w="105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5.292</w:t>
            </w:r>
          </w:p>
        </w:tc>
        <w:tc>
          <w:tcPr>
            <w:tcW w:type="dxa" w:w="136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−125.167</w:t>
            </w:r>
          </w:p>
        </w:tc>
        <w:tc>
          <w:tcPr>
            <w:tcW w:type="dxa" w:w="136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−237.070</w:t>
            </w:r>
          </w:p>
        </w:tc>
      </w:tr>
      <w:tr>
        <w:trPr>
          <w:cantSplit/>
          <w:tblHeader w:val="off"/>
        </w:trPr>
        <w:tc>
          <w:tcPr>
            <w:tcW w:type="dxa" w:w="90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15</w:t>
            </w:r>
          </w:p>
        </w:tc>
        <w:tc>
          <w:tcPr>
            <w:tcW w:type="dxa" w:w="136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Mart 2028</w:t>
            </w:r>
          </w:p>
        </w:tc>
        <w:tc>
          <w:tcPr>
            <w:tcW w:type="dxa" w:w="121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79.526</w:t>
            </w:r>
          </w:p>
        </w:tc>
        <w:tc>
          <w:tcPr>
            <w:tcW w:type="dxa" w:w="15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24.301</w:t>
            </w:r>
          </w:p>
        </w:tc>
        <w:tc>
          <w:tcPr>
            <w:tcW w:type="dxa" w:w="121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3.176</w:t>
            </w:r>
          </w:p>
        </w:tc>
        <w:tc>
          <w:tcPr>
            <w:tcW w:type="dxa" w:w="136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10.835</w:t>
            </w:r>
          </w:p>
        </w:tc>
        <w:tc>
          <w:tcPr>
            <w:tcW w:type="dxa" w:w="121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8.237</w:t>
            </w:r>
          </w:p>
        </w:tc>
        <w:tc>
          <w:tcPr>
            <w:tcW w:type="dxa" w:w="105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0</w:t>
            </w:r>
          </w:p>
        </w:tc>
        <w:tc>
          <w:tcPr>
            <w:tcW w:type="dxa" w:w="121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126.074</w:t>
            </w:r>
          </w:p>
        </w:tc>
        <w:tc>
          <w:tcPr>
            <w:tcW w:type="dxa" w:w="105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5.292</w:t>
            </w:r>
          </w:p>
        </w:tc>
        <w:tc>
          <w:tcPr>
            <w:tcW w:type="dxa" w:w="136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−120.783</w:t>
            </w:r>
          </w:p>
        </w:tc>
        <w:tc>
          <w:tcPr>
            <w:tcW w:type="dxa" w:w="136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−357.853</w:t>
            </w:r>
          </w:p>
        </w:tc>
      </w:tr>
      <w:tr>
        <w:trPr>
          <w:cantSplit/>
          <w:tblHeader w:val="off"/>
        </w:trPr>
        <w:tc>
          <w:tcPr>
            <w:tcW w:type="dxa" w:w="90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16</w:t>
            </w:r>
          </w:p>
        </w:tc>
        <w:tc>
          <w:tcPr>
            <w:tcW w:type="dxa" w:w="136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Nisan 2028</w:t>
            </w:r>
          </w:p>
        </w:tc>
        <w:tc>
          <w:tcPr>
            <w:tcW w:type="dxa" w:w="121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79.657</w:t>
            </w:r>
          </w:p>
        </w:tc>
        <w:tc>
          <w:tcPr>
            <w:tcW w:type="dxa" w:w="15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24.301</w:t>
            </w:r>
          </w:p>
        </w:tc>
        <w:tc>
          <w:tcPr>
            <w:tcW w:type="dxa" w:w="121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10.823</w:t>
            </w:r>
          </w:p>
        </w:tc>
        <w:tc>
          <w:tcPr>
            <w:tcW w:type="dxa" w:w="136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10.921</w:t>
            </w:r>
          </w:p>
        </w:tc>
        <w:tc>
          <w:tcPr>
            <w:tcW w:type="dxa" w:w="121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8.223</w:t>
            </w:r>
          </w:p>
        </w:tc>
        <w:tc>
          <w:tcPr>
            <w:tcW w:type="dxa" w:w="105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0</w:t>
            </w:r>
          </w:p>
        </w:tc>
        <w:tc>
          <w:tcPr>
            <w:tcW w:type="dxa" w:w="121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133.924</w:t>
            </w:r>
          </w:p>
        </w:tc>
        <w:tc>
          <w:tcPr>
            <w:tcW w:type="dxa" w:w="105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5.292</w:t>
            </w:r>
          </w:p>
        </w:tc>
        <w:tc>
          <w:tcPr>
            <w:tcW w:type="dxa" w:w="136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−128.633</w:t>
            </w:r>
          </w:p>
        </w:tc>
        <w:tc>
          <w:tcPr>
            <w:tcW w:type="dxa" w:w="136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−486.486</w:t>
            </w:r>
          </w:p>
        </w:tc>
      </w:tr>
      <w:tr>
        <w:trPr>
          <w:cantSplit/>
          <w:tblHeader w:val="off"/>
        </w:trPr>
        <w:tc>
          <w:tcPr>
            <w:tcW w:type="dxa" w:w="90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17</w:t>
            </w:r>
          </w:p>
        </w:tc>
        <w:tc>
          <w:tcPr>
            <w:tcW w:type="dxa" w:w="136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Mayıs 2028</w:t>
            </w:r>
          </w:p>
        </w:tc>
        <w:tc>
          <w:tcPr>
            <w:tcW w:type="dxa" w:w="121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79.789</w:t>
            </w:r>
          </w:p>
        </w:tc>
        <w:tc>
          <w:tcPr>
            <w:tcW w:type="dxa" w:w="15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24.301</w:t>
            </w:r>
          </w:p>
        </w:tc>
        <w:tc>
          <w:tcPr>
            <w:tcW w:type="dxa" w:w="121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10.805</w:t>
            </w:r>
          </w:p>
        </w:tc>
        <w:tc>
          <w:tcPr>
            <w:tcW w:type="dxa" w:w="136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10.925</w:t>
            </w:r>
          </w:p>
        </w:tc>
        <w:tc>
          <w:tcPr>
            <w:tcW w:type="dxa" w:w="121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8.209</w:t>
            </w:r>
          </w:p>
        </w:tc>
        <w:tc>
          <w:tcPr>
            <w:tcW w:type="dxa" w:w="105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0</w:t>
            </w:r>
          </w:p>
        </w:tc>
        <w:tc>
          <w:tcPr>
            <w:tcW w:type="dxa" w:w="121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134.029</w:t>
            </w:r>
          </w:p>
        </w:tc>
        <w:tc>
          <w:tcPr>
            <w:tcW w:type="dxa" w:w="105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5.292</w:t>
            </w:r>
          </w:p>
        </w:tc>
        <w:tc>
          <w:tcPr>
            <w:tcW w:type="dxa" w:w="136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−128.738</w:t>
            </w:r>
          </w:p>
        </w:tc>
        <w:tc>
          <w:tcPr>
            <w:tcW w:type="dxa" w:w="136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−615.223</w:t>
            </w:r>
          </w:p>
        </w:tc>
      </w:tr>
      <w:tr>
        <w:trPr>
          <w:cantSplit/>
          <w:tblHeader w:val="off"/>
        </w:trPr>
        <w:tc>
          <w:tcPr>
            <w:tcW w:type="dxa" w:w="90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18</w:t>
            </w:r>
          </w:p>
        </w:tc>
        <w:tc>
          <w:tcPr>
            <w:tcW w:type="dxa" w:w="136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Haziran 2028</w:t>
            </w:r>
          </w:p>
        </w:tc>
        <w:tc>
          <w:tcPr>
            <w:tcW w:type="dxa" w:w="121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79.920</w:t>
            </w:r>
          </w:p>
        </w:tc>
        <w:tc>
          <w:tcPr>
            <w:tcW w:type="dxa" w:w="15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24.301</w:t>
            </w:r>
          </w:p>
        </w:tc>
        <w:tc>
          <w:tcPr>
            <w:tcW w:type="dxa" w:w="121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10.787</w:t>
            </w:r>
          </w:p>
        </w:tc>
        <w:tc>
          <w:tcPr>
            <w:tcW w:type="dxa" w:w="136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10.930</w:t>
            </w:r>
          </w:p>
        </w:tc>
        <w:tc>
          <w:tcPr>
            <w:tcW w:type="dxa" w:w="121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8.196</w:t>
            </w:r>
          </w:p>
        </w:tc>
        <w:tc>
          <w:tcPr>
            <w:tcW w:type="dxa" w:w="105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0</w:t>
            </w:r>
          </w:p>
        </w:tc>
        <w:tc>
          <w:tcPr>
            <w:tcW w:type="dxa" w:w="121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134.134</w:t>
            </w:r>
          </w:p>
        </w:tc>
        <w:tc>
          <w:tcPr>
            <w:tcW w:type="dxa" w:w="105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5.292</w:t>
            </w:r>
          </w:p>
        </w:tc>
        <w:tc>
          <w:tcPr>
            <w:tcW w:type="dxa" w:w="136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−128.843</w:t>
            </w:r>
          </w:p>
        </w:tc>
        <w:tc>
          <w:tcPr>
            <w:tcW w:type="dxa" w:w="136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−744.066</w:t>
            </w:r>
          </w:p>
        </w:tc>
      </w:tr>
      <w:tr>
        <w:trPr>
          <w:cantSplit/>
          <w:tblHeader w:val="off"/>
        </w:trPr>
        <w:tc>
          <w:tcPr>
            <w:tcW w:type="dxa" w:w="90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b/>
                <w:bCs/>
                <w:sz w:val="17"/>
                <w:szCs w:val="17"/>
              </w:rPr>
              <w:t xml:space="preserve">Toplam</w:t>
            </w:r>
          </w:p>
        </w:tc>
        <w:tc>
          <w:tcPr>
            <w:tcW w:type="dxa" w:w="136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p>
        </w:tc>
        <w:tc>
          <w:tcPr>
            <w:tcW w:type="dxa" w:w="121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b/>
                <w:bCs/>
                <w:sz w:val="17"/>
                <w:szCs w:val="17"/>
              </w:rPr>
              <w:t xml:space="preserve">1.418.581</w:t>
            </w:r>
          </w:p>
        </w:tc>
        <w:tc>
          <w:tcPr>
            <w:tcW w:type="dxa" w:w="15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b/>
                <w:bCs/>
                <w:sz w:val="17"/>
                <w:szCs w:val="17"/>
              </w:rPr>
              <w:t xml:space="preserve">555.064</w:t>
            </w:r>
          </w:p>
        </w:tc>
        <w:tc>
          <w:tcPr>
            <w:tcW w:type="dxa" w:w="121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b/>
                <w:bCs/>
                <w:sz w:val="17"/>
                <w:szCs w:val="17"/>
              </w:rPr>
              <w:t xml:space="preserve">74.117</w:t>
            </w:r>
          </w:p>
        </w:tc>
        <w:tc>
          <w:tcPr>
            <w:tcW w:type="dxa" w:w="136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b/>
                <w:bCs/>
                <w:sz w:val="17"/>
                <w:szCs w:val="17"/>
              </w:rPr>
              <w:t xml:space="preserve">171.260</w:t>
            </w:r>
          </w:p>
        </w:tc>
        <w:tc>
          <w:tcPr>
            <w:tcW w:type="dxa" w:w="121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b/>
                <w:bCs/>
                <w:sz w:val="17"/>
                <w:szCs w:val="17"/>
              </w:rPr>
              <w:t xml:space="preserve">137.791</w:t>
            </w:r>
          </w:p>
        </w:tc>
        <w:tc>
          <w:tcPr>
            <w:tcW w:type="dxa" w:w="105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b/>
                <w:bCs/>
                <w:sz w:val="17"/>
                <w:szCs w:val="17"/>
              </w:rPr>
              <w:t xml:space="preserve">75.000</w:t>
            </w:r>
          </w:p>
        </w:tc>
        <w:tc>
          <w:tcPr>
            <w:tcW w:type="dxa" w:w="121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b/>
                <w:bCs/>
                <w:sz w:val="17"/>
                <w:szCs w:val="17"/>
              </w:rPr>
              <w:t xml:space="preserve">2.431.813</w:t>
            </w:r>
          </w:p>
        </w:tc>
        <w:tc>
          <w:tcPr>
            <w:tcW w:type="dxa" w:w="105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b/>
                <w:bCs/>
                <w:sz w:val="17"/>
                <w:szCs w:val="17"/>
              </w:rPr>
              <w:t xml:space="preserve">95.247</w:t>
            </w:r>
          </w:p>
        </w:tc>
        <w:tc>
          <w:tcPr>
            <w:tcW w:type="dxa" w:w="136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b/>
                <w:bCs/>
                <w:sz w:val="17"/>
                <w:szCs w:val="17"/>
              </w:rPr>
              <w:t xml:space="preserve">−2.336.566</w:t>
            </w:r>
          </w:p>
        </w:tc>
        <w:tc>
          <w:tcPr>
            <w:tcW w:type="dxa" w:w="136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p>
        </w:tc>
      </w:tr>
    </w:tbl>
    <w:p>
      <w:pPr>
        <w:spacing w:after="60"/>
      </w:pPr>
    </w:p>
    <w:p>
      <w:pPr>
        <w:spacing w:after="100" w:before="40"/>
      </w:pPr>
      <w:r>
        <w:rPr>
          <w:rFonts w:ascii="Arial" w:cs="Arial" w:eastAsia="Arial" w:hAnsi="Arial"/>
          <w:i/>
          <w:iCs/>
          <w:color w:val="595959"/>
          <w:sz w:val="16"/>
          <w:szCs w:val="16"/>
        </w:rPr>
        <w:t xml:space="preserve">Not: Ay sonu nakit, 1.592.500 TL başlangıç nakdinden aylık net nakit akışının düşülmesiyle bulunmuştur (H). Katkı payı proje döneminde aylara eşit dağıtılmıştır (Ek-D Tablo D-2; H). Pilot gideri Ay 4–6'da, patent vekili görüşü Ay 3'te gösterilmiştir (E.2).</w:t>
      </w:r>
    </w:p>
    <w:p>
      <w:pPr>
        <w:spacing w:after="90"/>
      </w:pPr>
      <w:r>
        <w:rPr>
          <w:rFonts w:ascii="Arial" w:cs="Arial" w:eastAsia="Arial" w:hAnsi="Arial"/>
          <w:sz w:val="18"/>
          <w:szCs w:val="18"/>
        </w:rPr>
        <w:t xml:space="preserve">Nakit Ay 12 sonuna (Aralık 2027) kadar pozitif kalmakta ve bu ayın sonunda 15.138 TL'ye inmektedir. Ay 13'te (Ocak 2028) ay sonu nakit −111.903 TL'dir; kritik nakit ayı Ay 13'tür. Tek ayda en yüksek çıkış Ay 2'de teçhizat alımıyla gerçekleşmektedir (187.778 TL). Ay 13–18 arasındaki aylık net çıkış 120.783–128.843 TL'dir ve proje sonunda (Ay 18) açık 744.066 TL'ye ulaşmaktadır.</w:t>
      </w:r>
    </w:p>
    <w:p>
      <w:pPr>
        <w:keepNext/>
        <w:spacing w:after="60" w:before="140"/>
      </w:pPr>
      <w:r>
        <w:rPr>
          <w:rFonts w:ascii="Arial" w:cs="Arial" w:eastAsia="Arial" w:hAnsi="Arial"/>
          <w:b/>
          <w:bCs/>
          <w:sz w:val="18"/>
          <w:szCs w:val="18"/>
        </w:rPr>
        <w:t xml:space="preserve">Tablo E-4. Dönemsel nakit akışı, yalnız kesin finansmanla (TL, KDV hariç)</w:t>
      </w:r>
    </w:p>
    <w:tbl>
      <w:tblPr>
        <w:tblW w:type="dxa" w:w="14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67"/>
        <w:gridCol w:w="2077"/>
        <w:gridCol w:w="2077"/>
        <w:gridCol w:w="2374"/>
        <w:gridCol w:w="2670"/>
        <w:gridCol w:w="2673"/>
      </w:tblGrid>
      <w:tr>
        <w:trPr>
          <w:cantSplit/>
          <w:tblHeader/>
        </w:trPr>
        <w:tc>
          <w:tcPr>
            <w:tcW w:type="dxa" w:w="2967"/>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Dönem</w:t>
            </w:r>
          </w:p>
        </w:tc>
        <w:tc>
          <w:tcPr>
            <w:tcW w:type="dxa" w:w="2077"/>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Sabit gider</w:t>
            </w:r>
          </w:p>
        </w:tc>
        <w:tc>
          <w:tcPr>
            <w:tcW w:type="dxa" w:w="2077"/>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Katkı payı</w:t>
            </w:r>
          </w:p>
        </w:tc>
        <w:tc>
          <w:tcPr>
            <w:tcW w:type="dxa" w:w="2374"/>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Faaliyet nakit akışı</w:t>
            </w:r>
          </w:p>
        </w:tc>
        <w:tc>
          <w:tcPr>
            <w:tcW w:type="dxa" w:w="267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Kümülatif faaliyet nakit akışı</w:t>
            </w:r>
          </w:p>
        </w:tc>
        <w:tc>
          <w:tcPr>
            <w:tcW w:type="dxa" w:w="2673"/>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Dönem sonu nakit</w:t>
            </w:r>
          </w:p>
        </w:tc>
      </w:tr>
      <w:tr>
        <w:trPr>
          <w:cantSplit/>
          <w:tblHeader w:val="off"/>
        </w:trPr>
        <w:tc>
          <w:tcPr>
            <w:tcW w:type="dxa" w:w="296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Proje (Ay 1–18)</w:t>
            </w:r>
          </w:p>
        </w:tc>
        <w:tc>
          <w:tcPr>
            <w:tcW w:type="dxa" w:w="20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2.431.813</w:t>
            </w:r>
          </w:p>
        </w:tc>
        <w:tc>
          <w:tcPr>
            <w:tcW w:type="dxa" w:w="20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95.247</w:t>
            </w:r>
          </w:p>
        </w:tc>
        <w:tc>
          <w:tcPr>
            <w:tcW w:type="dxa" w:w="23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−2.336.566</w:t>
            </w:r>
          </w:p>
        </w:tc>
        <w:tc>
          <w:tcPr>
            <w:tcW w:type="dxa" w:w="267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−2.336.566</w:t>
            </w:r>
          </w:p>
        </w:tc>
        <w:tc>
          <w:tcPr>
            <w:tcW w:type="dxa" w:w="267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−744.066</w:t>
            </w:r>
          </w:p>
        </w:tc>
      </w:tr>
      <w:tr>
        <w:trPr>
          <w:cantSplit/>
          <w:tblHeader w:val="off"/>
        </w:trPr>
        <w:tc>
          <w:tcPr>
            <w:tcW w:type="dxa" w:w="296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Yıl 1 (Ay 19–30)</w:t>
            </w:r>
          </w:p>
        </w:tc>
        <w:tc>
          <w:tcPr>
            <w:tcW w:type="dxa" w:w="20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1.858.835</w:t>
            </w:r>
          </w:p>
        </w:tc>
        <w:tc>
          <w:tcPr>
            <w:tcW w:type="dxa" w:w="20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250.154</w:t>
            </w:r>
          </w:p>
        </w:tc>
        <w:tc>
          <w:tcPr>
            <w:tcW w:type="dxa" w:w="23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−1.608.681</w:t>
            </w:r>
          </w:p>
        </w:tc>
        <w:tc>
          <w:tcPr>
            <w:tcW w:type="dxa" w:w="267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−3.945.247</w:t>
            </w:r>
          </w:p>
        </w:tc>
        <w:tc>
          <w:tcPr>
            <w:tcW w:type="dxa" w:w="267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−2.352.747</w:t>
            </w:r>
          </w:p>
        </w:tc>
      </w:tr>
      <w:tr>
        <w:trPr>
          <w:cantSplit/>
          <w:tblHeader w:val="off"/>
        </w:trPr>
        <w:tc>
          <w:tcPr>
            <w:tcW w:type="dxa" w:w="296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Yıl 2 (Ay 31–42)</w:t>
            </w:r>
          </w:p>
        </w:tc>
        <w:tc>
          <w:tcPr>
            <w:tcW w:type="dxa" w:w="20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2.724.928</w:t>
            </w:r>
          </w:p>
        </w:tc>
        <w:tc>
          <w:tcPr>
            <w:tcW w:type="dxa" w:w="20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655.502</w:t>
            </w:r>
          </w:p>
        </w:tc>
        <w:tc>
          <w:tcPr>
            <w:tcW w:type="dxa" w:w="23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−2.069.426</w:t>
            </w:r>
          </w:p>
        </w:tc>
        <w:tc>
          <w:tcPr>
            <w:tcW w:type="dxa" w:w="267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−6.014.673</w:t>
            </w:r>
          </w:p>
        </w:tc>
        <w:tc>
          <w:tcPr>
            <w:tcW w:type="dxa" w:w="267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−4.422.173</w:t>
            </w:r>
          </w:p>
        </w:tc>
      </w:tr>
      <w:tr>
        <w:trPr>
          <w:cantSplit/>
          <w:tblHeader w:val="off"/>
        </w:trPr>
        <w:tc>
          <w:tcPr>
            <w:tcW w:type="dxa" w:w="296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Yıl 3 (Ay 43–54)</w:t>
            </w:r>
          </w:p>
        </w:tc>
        <w:tc>
          <w:tcPr>
            <w:tcW w:type="dxa" w:w="20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2.751.438</w:t>
            </w:r>
          </w:p>
        </w:tc>
        <w:tc>
          <w:tcPr>
            <w:tcW w:type="dxa" w:w="20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1.260.782</w:t>
            </w:r>
          </w:p>
        </w:tc>
        <w:tc>
          <w:tcPr>
            <w:tcW w:type="dxa" w:w="23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−1.490.656</w:t>
            </w:r>
          </w:p>
        </w:tc>
        <w:tc>
          <w:tcPr>
            <w:tcW w:type="dxa" w:w="267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−7.505.328</w:t>
            </w:r>
          </w:p>
        </w:tc>
        <w:tc>
          <w:tcPr>
            <w:tcW w:type="dxa" w:w="267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−5.912.828</w:t>
            </w:r>
          </w:p>
        </w:tc>
      </w:tr>
      <w:tr>
        <w:trPr>
          <w:cantSplit/>
          <w:tblHeader w:val="off"/>
        </w:trPr>
        <w:tc>
          <w:tcPr>
            <w:tcW w:type="dxa" w:w="296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Yıl 4 (Ay 55–66)</w:t>
            </w:r>
          </w:p>
        </w:tc>
        <w:tc>
          <w:tcPr>
            <w:tcW w:type="dxa" w:w="20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2.778.680</w:t>
            </w:r>
          </w:p>
        </w:tc>
        <w:tc>
          <w:tcPr>
            <w:tcW w:type="dxa" w:w="20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1.744.613</w:t>
            </w:r>
          </w:p>
        </w:tc>
        <w:tc>
          <w:tcPr>
            <w:tcW w:type="dxa" w:w="23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−1.034.067</w:t>
            </w:r>
          </w:p>
        </w:tc>
        <w:tc>
          <w:tcPr>
            <w:tcW w:type="dxa" w:w="267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−8.539.395</w:t>
            </w:r>
          </w:p>
        </w:tc>
        <w:tc>
          <w:tcPr>
            <w:tcW w:type="dxa" w:w="267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−6.946.895</w:t>
            </w:r>
          </w:p>
        </w:tc>
      </w:tr>
      <w:tr>
        <w:trPr>
          <w:cantSplit/>
          <w:tblHeader w:val="off"/>
        </w:trPr>
        <w:tc>
          <w:tcPr>
            <w:tcW w:type="dxa" w:w="296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Yıl 5 (Ay 67–78)</w:t>
            </w:r>
          </w:p>
        </w:tc>
        <w:tc>
          <w:tcPr>
            <w:tcW w:type="dxa" w:w="20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2.806.684</w:t>
            </w:r>
          </w:p>
        </w:tc>
        <w:tc>
          <w:tcPr>
            <w:tcW w:type="dxa" w:w="20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1.965.248</w:t>
            </w:r>
          </w:p>
        </w:tc>
        <w:tc>
          <w:tcPr>
            <w:tcW w:type="dxa" w:w="23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−841.436</w:t>
            </w:r>
          </w:p>
        </w:tc>
        <w:tc>
          <w:tcPr>
            <w:tcW w:type="dxa" w:w="267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−9.380.831</w:t>
            </w:r>
          </w:p>
        </w:tc>
        <w:tc>
          <w:tcPr>
            <w:tcW w:type="dxa" w:w="267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−7.788.331</w:t>
            </w:r>
          </w:p>
        </w:tc>
      </w:tr>
    </w:tbl>
    <w:p>
      <w:pPr>
        <w:spacing w:after="60"/>
      </w:pPr>
    </w:p>
    <w:p>
      <w:pPr>
        <w:spacing w:after="100" w:before="40"/>
      </w:pPr>
      <w:r>
        <w:rPr>
          <w:rFonts w:ascii="Arial" w:cs="Arial" w:eastAsia="Arial" w:hAnsi="Arial"/>
          <w:i/>
          <w:iCs/>
          <w:color w:val="595959"/>
          <w:sz w:val="16"/>
          <w:szCs w:val="16"/>
        </w:rPr>
        <w:t xml:space="preserve">Not: Katkı payı Ek-D Tablo D-2'dendir. 78 aylık kümülatif faaliyet nakit akışı (−9.380.831 TL) Ek-D Tablo D-1 ile aynıdır. Dönem sonu nakit, ek finansman olmadığı varsayımıyla gösterilmiştir (H).</w:t>
      </w:r>
    </w:p>
    <w:p>
      <w:pPr>
        <w:pStyle w:val="Heading1"/>
        <w:keepNext/>
        <w:spacing w:after="100" w:before="260"/>
      </w:pPr>
      <w:r>
        <w:rPr>
          <w:rFonts w:ascii="Arial" w:cs="Arial" w:eastAsia="Arial" w:hAnsi="Arial"/>
          <w:b/>
          <w:bCs/>
          <w:i w:val="false"/>
          <w:iCs w:val="false"/>
          <w:color w:val="000000"/>
          <w:sz w:val="26"/>
          <w:szCs w:val="26"/>
        </w:rPr>
        <w:t xml:space="preserve">E.6 Nakit pistinin üç yöntemle karşılaştırılması</w:t>
      </w:r>
    </w:p>
    <w:p>
      <w:pPr>
        <w:keepNext/>
        <w:spacing w:after="60" w:before="140"/>
      </w:pPr>
      <w:r>
        <w:rPr>
          <w:rFonts w:ascii="Arial" w:cs="Arial" w:eastAsia="Arial" w:hAnsi="Arial"/>
          <w:b/>
          <w:bCs/>
          <w:sz w:val="18"/>
          <w:szCs w:val="18"/>
        </w:rPr>
        <w:t xml:space="preserve">Tablo E-5. Nakdin yettiği süre: yöntem karşılaştırması</w:t>
      </w:r>
    </w:p>
    <w:tbl>
      <w:tblPr>
        <w:tblW w:type="dxa" w:w="14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451"/>
        <w:gridCol w:w="2967"/>
        <w:gridCol w:w="2077"/>
        <w:gridCol w:w="1780"/>
        <w:gridCol w:w="1780"/>
        <w:gridCol w:w="1783"/>
      </w:tblGrid>
      <w:tr>
        <w:trPr>
          <w:cantSplit/>
          <w:tblHeader/>
        </w:trPr>
        <w:tc>
          <w:tcPr>
            <w:tcW w:type="dxa" w:w="4451"/>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Yöntem</w:t>
            </w:r>
          </w:p>
        </w:tc>
        <w:tc>
          <w:tcPr>
            <w:tcW w:type="dxa" w:w="2967"/>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Sabit giderin aylara dağılımı</w:t>
            </w:r>
          </w:p>
        </w:tc>
        <w:tc>
          <w:tcPr>
            <w:tcW w:type="dxa" w:w="2077"/>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Başlangıç nakdi (TL)</w:t>
            </w:r>
          </w:p>
        </w:tc>
        <w:tc>
          <w:tcPr>
            <w:tcW w:type="dxa" w:w="178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Nakdin yettiği son ay</w:t>
            </w:r>
          </w:p>
        </w:tc>
        <w:tc>
          <w:tcPr>
            <w:tcW w:type="dxa" w:w="178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İlk eksi ay</w:t>
            </w:r>
          </w:p>
        </w:tc>
        <w:tc>
          <w:tcPr>
            <w:tcW w:type="dxa" w:w="1783"/>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Kullanıldığı yer</w:t>
            </w:r>
          </w:p>
        </w:tc>
      </w:tr>
      <w:tr>
        <w:trPr>
          <w:cantSplit/>
          <w:tblHeader w:val="off"/>
        </w:trPr>
        <w:tc>
          <w:tcPr>
            <w:tcW w:type="dxa" w:w="445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Düz dağıtım (Ek-D)</w:t>
            </w:r>
          </w:p>
        </w:tc>
        <w:tc>
          <w:tcPr>
            <w:tcW w:type="dxa" w:w="296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78 aya eşit, aylık 196.825 TL</w:t>
            </w:r>
          </w:p>
        </w:tc>
        <w:tc>
          <w:tcPr>
            <w:tcW w:type="dxa" w:w="20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1.592.500 (nominal)</w:t>
            </w:r>
          </w:p>
        </w:tc>
        <w:tc>
          <w:tcPr>
            <w:tcW w:type="dxa" w:w="17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Ay 8</w:t>
            </w:r>
          </w:p>
        </w:tc>
        <w:tc>
          <w:tcPr>
            <w:tcW w:type="dxa" w:w="17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Ay 9</w:t>
            </w:r>
          </w:p>
        </w:tc>
        <w:tc>
          <w:tcPr>
            <w:tcW w:type="dxa" w:w="17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İş Planı 4.5 ve 5.1: "yaklaşık Ay 9"</w:t>
            </w:r>
          </w:p>
        </w:tc>
      </w:tr>
      <w:tr>
        <w:trPr>
          <w:cantSplit/>
          <w:tblHeader w:val="off"/>
        </w:trPr>
        <w:tc>
          <w:tcPr>
            <w:tcW w:type="dxa" w:w="445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Ödeme takvimi, nominal finansman</w:t>
            </w:r>
          </w:p>
        </w:tc>
        <w:tc>
          <w:tcPr>
            <w:tcW w:type="dxa" w:w="296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Tablo E-3</w:t>
            </w:r>
          </w:p>
        </w:tc>
        <w:tc>
          <w:tcPr>
            <w:tcW w:type="dxa" w:w="20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1.592.500 (nominal)</w:t>
            </w:r>
          </w:p>
        </w:tc>
        <w:tc>
          <w:tcPr>
            <w:tcW w:type="dxa" w:w="17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Ay 12</w:t>
            </w:r>
          </w:p>
        </w:tc>
        <w:tc>
          <w:tcPr>
            <w:tcW w:type="dxa" w:w="17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Ay 13</w:t>
            </w:r>
          </w:p>
        </w:tc>
        <w:tc>
          <w:tcPr>
            <w:tcW w:type="dxa" w:w="17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Bu ekin taban değeri</w:t>
            </w:r>
          </w:p>
        </w:tc>
      </w:tr>
      <w:tr>
        <w:trPr>
          <w:cantSplit/>
          <w:tblHeader w:val="off"/>
        </w:trPr>
        <w:tc>
          <w:tcPr>
            <w:tcW w:type="dxa" w:w="445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Ödeme takvimi, finansman 2026 fiyatlarına çevrilmiş</w:t>
            </w:r>
          </w:p>
        </w:tc>
        <w:tc>
          <w:tcPr>
            <w:tcW w:type="dxa" w:w="296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Tablo E-3</w:t>
            </w:r>
          </w:p>
        </w:tc>
        <w:tc>
          <w:tcPr>
            <w:tcW w:type="dxa" w:w="20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1.436.737 (2026 fiyatları)</w:t>
            </w:r>
          </w:p>
        </w:tc>
        <w:tc>
          <w:tcPr>
            <w:tcW w:type="dxa" w:w="17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Ay 10</w:t>
            </w:r>
          </w:p>
        </w:tc>
        <w:tc>
          <w:tcPr>
            <w:tcW w:type="dxa" w:w="17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Ay 11</w:t>
            </w:r>
          </w:p>
        </w:tc>
        <w:tc>
          <w:tcPr>
            <w:tcW w:type="dxa" w:w="17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Enflasyon duyarlılığı</w:t>
            </w:r>
          </w:p>
        </w:tc>
      </w:tr>
    </w:tbl>
    <w:p>
      <w:pPr>
        <w:spacing w:after="60"/>
      </w:pPr>
    </w:p>
    <w:p>
      <w:pPr>
        <w:spacing w:after="100" w:before="40"/>
      </w:pPr>
      <w:r>
        <w:rPr>
          <w:rFonts w:ascii="Arial" w:cs="Arial" w:eastAsia="Arial" w:hAnsi="Arial"/>
          <w:i/>
          <w:iCs/>
          <w:color w:val="595959"/>
          <w:sz w:val="16"/>
          <w:szCs w:val="16"/>
        </w:rPr>
        <w:t xml:space="preserve">Not: Model deflatörüne göre Ocak 2027 fiyat düzeyi 2026 ortalamasının 1,111 katıdır; BİGG yatırımının 2026 fiyatlarıyla karşılığı 1.214.777 TL, kurucu sermayesininki 221.960 TL'dir (M). Bu satır, nominal finansmanın 2026 fiyatlarıyla gösterilen giderlerle karşılaştırılmasından doğan iyimserliği giderir.</w:t>
      </w:r>
    </w:p>
    <w:p>
      <w:pPr>
        <w:spacing w:after="90"/>
      </w:pPr>
      <w:r>
        <w:rPr>
          <w:rFonts w:ascii="Arial" w:cs="Arial" w:eastAsia="Arial" w:hAnsi="Arial"/>
          <w:sz w:val="18"/>
          <w:szCs w:val="18"/>
        </w:rPr>
        <w:t xml:space="preserve">Üç yöntem aynı 78 aylık gideri kullanır; fark giderin zaman içindeki dağılımından ve enflasyondan doğar. İş Planı 4.5 ve 5.1'deki "yaklaşık Ay 9" ifadesi üç yöntemin en muhafazakâr olanıdır ve planda korunmuştur. Finansman kararları için bu ekin taban değeri (Ay 13'te eksiye dönüş) ile enflasyon duyarlılığı (Ay 11'de eksiye dönüş) birlikte izlenir.</w:t>
      </w:r>
    </w:p>
    <w:p>
      <w:pPr>
        <w:pStyle w:val="Heading1"/>
        <w:keepNext/>
        <w:spacing w:after="100" w:before="260"/>
      </w:pPr>
      <w:r>
        <w:rPr>
          <w:rFonts w:ascii="Arial" w:cs="Arial" w:eastAsia="Arial" w:hAnsi="Arial"/>
          <w:b/>
          <w:bCs/>
          <w:i w:val="false"/>
          <w:iCs w:val="false"/>
          <w:color w:val="000000"/>
          <w:sz w:val="26"/>
          <w:szCs w:val="26"/>
        </w:rPr>
        <w:t xml:space="preserve">E.7 Finansman senaryoları</w:t>
      </w:r>
    </w:p>
    <w:p>
      <w:pPr>
        <w:keepNext/>
        <w:spacing w:after="60" w:before="140"/>
      </w:pPr>
      <w:r>
        <w:rPr>
          <w:rFonts w:ascii="Arial" w:cs="Arial" w:eastAsia="Arial" w:hAnsi="Arial"/>
          <w:b/>
          <w:bCs/>
          <w:sz w:val="18"/>
          <w:szCs w:val="18"/>
        </w:rPr>
        <w:t xml:space="preserve">Tablo E-6. Finansman senaryoları ve nakde etkisi (TL)</w:t>
      </w:r>
    </w:p>
    <w:tbl>
      <w:tblPr>
        <w:tblW w:type="dxa" w:w="14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22"/>
        <w:gridCol w:w="4599"/>
        <w:gridCol w:w="3264"/>
        <w:gridCol w:w="1483"/>
        <w:gridCol w:w="1483"/>
        <w:gridCol w:w="1487"/>
      </w:tblGrid>
      <w:tr>
        <w:trPr>
          <w:cantSplit/>
          <w:tblHeader/>
        </w:trPr>
        <w:tc>
          <w:tcPr>
            <w:tcW w:type="dxa" w:w="2522"/>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Senaryo</w:t>
            </w:r>
          </w:p>
        </w:tc>
        <w:tc>
          <w:tcPr>
            <w:tcW w:type="dxa" w:w="4599"/>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Tanım</w:t>
            </w:r>
          </w:p>
        </w:tc>
        <w:tc>
          <w:tcPr>
            <w:tcW w:type="dxa" w:w="3264"/>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Ek kaynak ve zamanlama</w:t>
            </w:r>
          </w:p>
        </w:tc>
        <w:tc>
          <w:tcPr>
            <w:tcW w:type="dxa" w:w="1483"/>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Nakdin yettiği son ay</w:t>
            </w:r>
          </w:p>
        </w:tc>
        <w:tc>
          <w:tcPr>
            <w:tcW w:type="dxa" w:w="1483"/>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Ay 18 sonu nakit</w:t>
            </w:r>
          </w:p>
        </w:tc>
        <w:tc>
          <w:tcPr>
            <w:tcW w:type="dxa" w:w="1487"/>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Statü</w:t>
            </w:r>
          </w:p>
        </w:tc>
      </w:tr>
      <w:tr>
        <w:trPr>
          <w:cantSplit/>
          <w:tblHeader w:val="off"/>
        </w:trPr>
        <w:tc>
          <w:tcPr>
            <w:tcW w:type="dxa" w:w="252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S1. Güvenli taban</w:t>
            </w:r>
          </w:p>
        </w:tc>
        <w:tc>
          <w:tcPr>
            <w:tcW w:type="dxa" w:w="459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Yalnız kesin finansman (1.592.500 TL); Tablo E-3</w:t>
            </w:r>
          </w:p>
        </w:tc>
        <w:tc>
          <w:tcPr>
            <w:tcW w:type="dxa" w:w="326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Yok</w:t>
            </w:r>
          </w:p>
        </w:tc>
        <w:tc>
          <w:tcPr>
            <w:tcW w:type="dxa" w:w="14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Ay 12</w:t>
            </w:r>
          </w:p>
        </w:tc>
        <w:tc>
          <w:tcPr>
            <w:tcW w:type="dxa" w:w="14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−744.066</w:t>
            </w:r>
          </w:p>
        </w:tc>
        <w:tc>
          <w:tcPr>
            <w:tcW w:type="dxa" w:w="148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Taban (H)</w:t>
            </w:r>
          </w:p>
        </w:tc>
      </w:tr>
      <w:tr>
        <w:trPr>
          <w:cantSplit/>
          <w:tblHeader w:val="off"/>
        </w:trPr>
        <w:tc>
          <w:tcPr>
            <w:tcW w:type="dxa" w:w="252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S2. Devam yatırımı</w:t>
            </w:r>
          </w:p>
        </w:tc>
        <w:tc>
          <w:tcPr>
            <w:tcW w:type="dxa" w:w="459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S1 ve TÜBİTAK BİGG Fonu devam yatırımı 1.350.000 TL</w:t>
            </w:r>
          </w:p>
        </w:tc>
        <w:tc>
          <w:tcPr>
            <w:tcW w:type="dxa" w:w="326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En erken birinci dönem raporuyla talep edilir (Ay 6 sonu); tutarın Ay 10'da hesapta olduğu varsayılmıştır (V)</w:t>
            </w:r>
          </w:p>
        </w:tc>
        <w:tc>
          <w:tcPr>
            <w:tcW w:type="dxa" w:w="14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Ay 22</w:t>
            </w:r>
          </w:p>
        </w:tc>
        <w:tc>
          <w:tcPr>
            <w:tcW w:type="dxa" w:w="14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605.934</w:t>
            </w:r>
          </w:p>
        </w:tc>
        <w:tc>
          <w:tcPr>
            <w:tcW w:type="dxa" w:w="148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Koşullu; tetikleyici belge ve kurul kararı gerekir [K1 §5.5]</w:t>
            </w:r>
          </w:p>
        </w:tc>
      </w:tr>
      <w:tr>
        <w:trPr>
          <w:cantSplit/>
          <w:tblHeader w:val="off"/>
        </w:trPr>
        <w:tc>
          <w:tcPr>
            <w:tcW w:type="dxa" w:w="252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S3. B planı: pazarlama durdurma</w:t>
            </w:r>
          </w:p>
        </w:tc>
        <w:tc>
          <w:tcPr>
            <w:tcW w:type="dxa" w:w="459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S1; proje döneminde pazarlama ve filo kurulum gideri yapılmaz</w:t>
            </w:r>
          </w:p>
        </w:tc>
        <w:tc>
          <w:tcPr>
            <w:tcW w:type="dxa" w:w="326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Yok</w:t>
            </w:r>
          </w:p>
        </w:tc>
        <w:tc>
          <w:tcPr>
            <w:tcW w:type="dxa" w:w="14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Ay 13</w:t>
            </w:r>
          </w:p>
        </w:tc>
        <w:tc>
          <w:tcPr>
            <w:tcW w:type="dxa" w:w="14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−572.806</w:t>
            </w:r>
          </w:p>
        </w:tc>
        <w:tc>
          <w:tcPr>
            <w:tcW w:type="dxa" w:w="148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İş Planı 5.1 B planı (H)</w:t>
            </w:r>
          </w:p>
        </w:tc>
      </w:tr>
      <w:tr>
        <w:trPr>
          <w:cantSplit/>
          <w:tblHeader w:val="off"/>
        </w:trPr>
        <w:tc>
          <w:tcPr>
            <w:tcW w:type="dxa" w:w="252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S4. B planı: sabit gider %20 düşük</w:t>
            </w:r>
          </w:p>
        </w:tc>
        <w:tc>
          <w:tcPr>
            <w:tcW w:type="dxa" w:w="459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S1; tüm sabit giderler %20 düşük (Ek-D Tablo D-8'deki kaldıraç)</w:t>
            </w:r>
          </w:p>
        </w:tc>
        <w:tc>
          <w:tcPr>
            <w:tcW w:type="dxa" w:w="326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Yok</w:t>
            </w:r>
          </w:p>
        </w:tc>
        <w:tc>
          <w:tcPr>
            <w:tcW w:type="dxa" w:w="14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Ay 15</w:t>
            </w:r>
          </w:p>
        </w:tc>
        <w:tc>
          <w:tcPr>
            <w:tcW w:type="dxa" w:w="14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−257.703</w:t>
            </w:r>
          </w:p>
        </w:tc>
        <w:tc>
          <w:tcPr>
            <w:tcW w:type="dxa" w:w="148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Duyarlılık (H)</w:t>
            </w:r>
          </w:p>
        </w:tc>
      </w:tr>
      <w:tr>
        <w:trPr>
          <w:cantSplit/>
          <w:tblHeader w:val="off"/>
        </w:trPr>
        <w:tc>
          <w:tcPr>
            <w:tcW w:type="dxa" w:w="252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S5. Koşullu tavanlar</w:t>
            </w:r>
          </w:p>
        </w:tc>
        <w:tc>
          <w:tcPr>
            <w:tcW w:type="dxa" w:w="459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S2 ve Aşama 3 (BİGG+) en fazla 8.000.000 TL</w:t>
            </w:r>
          </w:p>
        </w:tc>
        <w:tc>
          <w:tcPr>
            <w:tcW w:type="dxa" w:w="326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BİGG+ proje tamamlandıktan sonra; planlanan başvuru Haziran 2029</w:t>
            </w:r>
          </w:p>
        </w:tc>
        <w:tc>
          <w:tcPr>
            <w:tcW w:type="dxa" w:w="14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Proje dönemi dışında</w:t>
            </w:r>
          </w:p>
        </w:tc>
        <w:tc>
          <w:tcPr>
            <w:tcW w:type="dxa" w:w="14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Proje dönemi dışında</w:t>
            </w:r>
          </w:p>
        </w:tc>
        <w:tc>
          <w:tcPr>
            <w:tcW w:type="dxa" w:w="148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Taban senaryo değildir (Ek-D Tablo D-9)</w:t>
            </w:r>
          </w:p>
        </w:tc>
      </w:tr>
    </w:tbl>
    <w:p>
      <w:pPr>
        <w:spacing w:after="60"/>
      </w:pPr>
    </w:p>
    <w:p>
      <w:pPr>
        <w:spacing w:after="90"/>
      </w:pPr>
      <w:r>
        <w:rPr>
          <w:rFonts w:ascii="Arial" w:cs="Arial" w:eastAsia="Arial" w:hAnsi="Arial"/>
          <w:sz w:val="18"/>
          <w:szCs w:val="18"/>
        </w:rPr>
        <w:t xml:space="preserve">Senaryolardan çıkan sonuçlar şunlardır:</w:t>
      </w:r>
    </w:p>
    <w:p>
      <w:pPr>
        <w:pStyle w:val="ListParagraph"/>
        <w:numPr>
          <w:ilvl w:val="0"/>
          <w:numId w:val="2"/>
        </w:numPr>
        <w:spacing w:after="50"/>
      </w:pPr>
      <w:r>
        <w:rPr>
          <w:rFonts w:ascii="Arial" w:cs="Arial" w:eastAsia="Arial" w:hAnsi="Arial"/>
          <w:b/>
          <w:bCs/>
          <w:sz w:val="18"/>
          <w:szCs w:val="18"/>
        </w:rPr>
        <w:t xml:space="preserve">Köprü ihtiyacı.</w:t>
      </w:r>
      <w:r>
        <w:rPr>
          <w:rFonts w:ascii="Arial" w:cs="Arial" w:eastAsia="Arial" w:hAnsi="Arial"/>
          <w:sz w:val="18"/>
          <w:szCs w:val="18"/>
        </w:rPr>
        <w:t xml:space="preserve"> Yalnız kesin finansmanla proje sonuna kadar giderlerin karşılanması için 744.066 TL ek finansman gerekmektedir. Bu tutarın en geç Ay 13 başında (Ocak 2028) hesapta olması gerekir.</w:t>
      </w:r>
    </w:p>
    <w:p>
      <w:pPr>
        <w:pStyle w:val="ListParagraph"/>
        <w:numPr>
          <w:ilvl w:val="0"/>
          <w:numId w:val="2"/>
        </w:numPr>
        <w:spacing w:after="50"/>
      </w:pPr>
      <w:r>
        <w:rPr>
          <w:rFonts w:ascii="Arial" w:cs="Arial" w:eastAsia="Arial" w:hAnsi="Arial"/>
          <w:b/>
          <w:bCs/>
          <w:sz w:val="18"/>
          <w:szCs w:val="18"/>
        </w:rPr>
        <w:t xml:space="preserve">78 aylık dış finansman ihtiyacı.</w:t>
      </w:r>
      <w:r>
        <w:rPr>
          <w:rFonts w:ascii="Arial" w:cs="Arial" w:eastAsia="Arial" w:hAnsi="Arial"/>
          <w:sz w:val="18"/>
          <w:szCs w:val="18"/>
        </w:rPr>
        <w:t xml:space="preserve"> Kümülatif faaliyet nakit akışı 78 ay sonunda −9.380.831 TL'dir (Ek-D Tablo D-1). Kesin finansman düşüldüğünde ek finansman ihtiyacı 7.788.331 TL'dir (H). Taban senaryo 78 ay içinde kümülatif nakit başa başına ulaşmamaktadır (Ek-D).</w:t>
      </w:r>
    </w:p>
    <w:p>
      <w:pPr>
        <w:pStyle w:val="ListParagraph"/>
        <w:numPr>
          <w:ilvl w:val="0"/>
          <w:numId w:val="2"/>
        </w:numPr>
        <w:spacing w:after="50"/>
      </w:pPr>
      <w:r>
        <w:rPr>
          <w:rFonts w:ascii="Arial" w:cs="Arial" w:eastAsia="Arial" w:hAnsi="Arial"/>
          <w:b/>
          <w:bCs/>
          <w:sz w:val="18"/>
          <w:szCs w:val="18"/>
        </w:rPr>
        <w:t xml:space="preserve">Devam yatırımı.</w:t>
      </w:r>
      <w:r>
        <w:rPr>
          <w:rFonts w:ascii="Arial" w:cs="Arial" w:eastAsia="Arial" w:hAnsi="Arial"/>
          <w:sz w:val="18"/>
          <w:szCs w:val="18"/>
        </w:rPr>
        <w:t xml:space="preserve"> Kuruluş, destek süreci başladıktan sonra en erken birinci dönem raporuyla en fazla 1.350.000 TL devam yatırımı talep edebilir. Talep için yeni bir yatırım turu, yüksek tutarlı ve bağlayıcı müşteri siparişi ya da sözleşmesi veya seri üretime geçiş gibi bir tetikleyicinin belgelenmesi gerekir; karar Grup Yürütme Kurulu değerlendirmesi, TÜBİTAK onayı ve Fon Yatırım Komitesiyle verilir ve Fon'un toplam payı %5'i geçemez [K1 §5.5]. Dönem raporları altışar aylıktır [K1 §6]; birinci rapor Ay 6 sonundadır. S2, devam yatırımı gerçekleşirse nakdin Ay 22'ye kadar yettiğini göstermektedir.</w:t>
      </w:r>
    </w:p>
    <w:p>
      <w:pPr>
        <w:pStyle w:val="ListParagraph"/>
        <w:numPr>
          <w:ilvl w:val="0"/>
          <w:numId w:val="2"/>
        </w:numPr>
        <w:spacing w:after="50"/>
      </w:pPr>
      <w:r>
        <w:rPr>
          <w:rFonts w:ascii="Arial" w:cs="Arial" w:eastAsia="Arial" w:hAnsi="Arial"/>
          <w:b/>
          <w:bCs/>
          <w:sz w:val="18"/>
          <w:szCs w:val="18"/>
        </w:rPr>
        <w:t xml:space="preserve">B planı.</w:t>
      </w:r>
      <w:r>
        <w:rPr>
          <w:rFonts w:ascii="Arial" w:cs="Arial" w:eastAsia="Arial" w:hAnsi="Arial"/>
          <w:sz w:val="18"/>
          <w:szCs w:val="18"/>
        </w:rPr>
        <w:t xml:space="preserve"> Pazarlama ve filo kurulum giderinin proje döneminde durdurulması tükenme ayını bir ay öteler (S3). Tüm sabit giderlerin %20 azaltılması üç ay öteler (S4). Hiçbir B planı tek başına proje sonuna kadar nakdi pozitif tutmaz; bu nedenle köprü finansmanı görüşmeleri Ay 6'da başlar (İş Planı 4.5, 5.1).</w:t>
      </w:r>
    </w:p>
    <w:p>
      <w:pPr>
        <w:pStyle w:val="ListParagraph"/>
        <w:numPr>
          <w:ilvl w:val="0"/>
          <w:numId w:val="2"/>
        </w:numPr>
        <w:spacing w:after="50"/>
      </w:pPr>
      <w:r>
        <w:rPr>
          <w:rFonts w:ascii="Arial" w:cs="Arial" w:eastAsia="Arial" w:hAnsi="Arial"/>
          <w:b/>
          <w:bCs/>
          <w:sz w:val="18"/>
          <w:szCs w:val="18"/>
        </w:rPr>
        <w:t xml:space="preserve">Melek yatırım.</w:t>
      </w:r>
      <w:r>
        <w:rPr>
          <w:rFonts w:ascii="Arial" w:cs="Arial" w:eastAsia="Arial" w:hAnsi="Arial"/>
          <w:sz w:val="18"/>
          <w:szCs w:val="18"/>
        </w:rPr>
        <w:t xml:space="preserve"> İş planında melek turunun tutarı belirtilmemiştir; bu nedenle ayrı senaryo olarak modellenmemiştir. Görüşmeler Ay 6'daki MVP ve ilk kullanıcı verileriyle başlatılacaktır (İş Planı 4.5).</w:t>
      </w:r>
    </w:p>
    <w:p>
      <w:pPr>
        <w:pStyle w:val="Heading1"/>
        <w:keepNext/>
        <w:spacing w:after="100" w:before="260"/>
      </w:pPr>
      <w:r>
        <w:rPr>
          <w:rFonts w:ascii="Arial" w:cs="Arial" w:eastAsia="Arial" w:hAnsi="Arial"/>
          <w:b/>
          <w:bCs/>
          <w:i w:val="false"/>
          <w:iCs w:val="false"/>
          <w:color w:val="000000"/>
          <w:sz w:val="26"/>
          <w:szCs w:val="26"/>
        </w:rPr>
        <w:t xml:space="preserve">E.8 Nakit izleme ve karar noktaları</w:t>
      </w:r>
    </w:p>
    <w:p>
      <w:pPr>
        <w:spacing w:after="90"/>
      </w:pPr>
      <w:r>
        <w:rPr>
          <w:rFonts w:ascii="Arial" w:cs="Arial" w:eastAsia="Arial" w:hAnsi="Arial"/>
          <w:sz w:val="18"/>
          <w:szCs w:val="18"/>
        </w:rPr>
        <w:t xml:space="preserve">Nakdin kaç ay yeteceği her ay sonunda hesaplanır: ay sonu nakit, izleyen üç ayın planlanan ortalama net nakit çıkışına bölünür. Hesap, aylık yönetim raporunda ve üç aylık yatırımcı güncellemelerinde yer alır (İş Planı 4.5). YPSS'ye göre şirket, Fon'a dönemsel gelir tablosu, bilanço, nakit akış tablosu ve yatırım tutarının kullanımına ilişkin raporu sunar [K4].</w:t>
      </w:r>
    </w:p>
    <w:p>
      <w:pPr>
        <w:keepNext/>
        <w:spacing w:after="60" w:before="140"/>
      </w:pPr>
      <w:r>
        <w:rPr>
          <w:rFonts w:ascii="Arial" w:cs="Arial" w:eastAsia="Arial" w:hAnsi="Arial"/>
          <w:b/>
          <w:bCs/>
          <w:sz w:val="18"/>
          <w:szCs w:val="18"/>
        </w:rPr>
        <w:t xml:space="preserve">Tablo E-7. Nakit karar noktaları (taban senaryo)</w:t>
      </w:r>
    </w:p>
    <w:tbl>
      <w:tblPr>
        <w:tblW w:type="dxa" w:w="14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83"/>
        <w:gridCol w:w="2077"/>
        <w:gridCol w:w="4451"/>
        <w:gridCol w:w="6827"/>
      </w:tblGrid>
      <w:tr>
        <w:trPr>
          <w:cantSplit/>
          <w:tblHeader/>
        </w:trPr>
        <w:tc>
          <w:tcPr>
            <w:tcW w:type="dxa" w:w="1483"/>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Ay</w:t>
            </w:r>
          </w:p>
        </w:tc>
        <w:tc>
          <w:tcPr>
            <w:tcW w:type="dxa" w:w="2077"/>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Takvim</w:t>
            </w:r>
          </w:p>
        </w:tc>
        <w:tc>
          <w:tcPr>
            <w:tcW w:type="dxa" w:w="4451"/>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Taban senaryoda ay sonu nakit</w:t>
            </w:r>
          </w:p>
        </w:tc>
        <w:tc>
          <w:tcPr>
            <w:tcW w:type="dxa" w:w="6827"/>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Karar</w:t>
            </w:r>
          </w:p>
        </w:tc>
      </w:tr>
      <w:tr>
        <w:trPr>
          <w:cantSplit/>
          <w:tblHeader w:val="off"/>
        </w:trPr>
        <w:tc>
          <w:tcPr>
            <w:tcW w:type="dxa" w:w="14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Ay 6</w:t>
            </w:r>
          </w:p>
        </w:tc>
        <w:tc>
          <w:tcPr>
            <w:tcW w:type="dxa" w:w="20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Haziran 2027</w:t>
            </w:r>
          </w:p>
        </w:tc>
        <w:tc>
          <w:tcPr>
            <w:tcW w:type="dxa" w:w="445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733.199 TL (yaklaşık 6,4 aylık net çıkış)</w:t>
            </w:r>
          </w:p>
        </w:tc>
        <w:tc>
          <w:tcPr>
            <w:tcW w:type="dxa" w:w="682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Kapı-1 ile birlikte melek ve devam yatırımı görüşmeleri başlar (İş Planı 4.5, 5.1); birinci dönem raporu hazırlanır.</w:t>
            </w:r>
          </w:p>
        </w:tc>
      </w:tr>
      <w:tr>
        <w:trPr>
          <w:cantSplit/>
          <w:tblHeader w:val="off"/>
        </w:trPr>
        <w:tc>
          <w:tcPr>
            <w:tcW w:type="dxa" w:w="14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Ay 9</w:t>
            </w:r>
          </w:p>
        </w:tc>
        <w:tc>
          <w:tcPr>
            <w:tcW w:type="dxa" w:w="20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Eylül 2027</w:t>
            </w:r>
          </w:p>
        </w:tc>
        <w:tc>
          <w:tcPr>
            <w:tcW w:type="dxa" w:w="445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388.640 TL (yaklaşık 3,1 aylık net çıkış)</w:t>
            </w:r>
          </w:p>
        </w:tc>
        <w:tc>
          <w:tcPr>
            <w:tcW w:type="dxa" w:w="682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Ara kontrol. Yazılı köprü finansmanı taahhüdü yoksa İş Planı 5.1'deki B planı uygulanır: zorunlu olmayan işe alım, içerik ve pazarlama ile ölçekleme harcamaları ertelenir; ürün kapsamı çekirdek navigasyon ve doğrulama işlerine daraltılır.</w:t>
            </w:r>
          </w:p>
        </w:tc>
      </w:tr>
      <w:tr>
        <w:trPr>
          <w:cantSplit/>
          <w:tblHeader w:val="off"/>
        </w:trPr>
        <w:tc>
          <w:tcPr>
            <w:tcW w:type="dxa" w:w="14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Ay 12</w:t>
            </w:r>
          </w:p>
        </w:tc>
        <w:tc>
          <w:tcPr>
            <w:tcW w:type="dxa" w:w="20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Aralık 2027</w:t>
            </w:r>
          </w:p>
        </w:tc>
        <w:tc>
          <w:tcPr>
            <w:tcW w:type="dxa" w:w="445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15.138 TL</w:t>
            </w:r>
          </w:p>
        </w:tc>
        <w:tc>
          <w:tcPr>
            <w:tcW w:type="dxa" w:w="682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Kapı-2. Köprü finansmanının en geç Ay 13 başında hesapta olması gerekir.</w:t>
            </w:r>
          </w:p>
        </w:tc>
      </w:tr>
      <w:tr>
        <w:trPr>
          <w:cantSplit/>
          <w:tblHeader w:val="off"/>
        </w:trPr>
        <w:tc>
          <w:tcPr>
            <w:tcW w:type="dxa" w:w="14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Ay 18</w:t>
            </w:r>
          </w:p>
        </w:tc>
        <w:tc>
          <w:tcPr>
            <w:tcW w:type="dxa" w:w="20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Haziran 2028</w:t>
            </w:r>
          </w:p>
        </w:tc>
        <w:tc>
          <w:tcPr>
            <w:tcW w:type="dxa" w:w="445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−744.066 TL (köprü finansmanı yoksa)</w:t>
            </w:r>
          </w:p>
        </w:tc>
        <w:tc>
          <w:tcPr>
            <w:tcW w:type="dxa" w:w="682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Kapı-3; Aşama 3 (BİGG+) hazırlığı (İş Planı 4.3).</w:t>
            </w:r>
          </w:p>
        </w:tc>
      </w:tr>
    </w:tbl>
    <w:p>
      <w:pPr>
        <w:spacing w:after="60"/>
      </w:pPr>
    </w:p>
    <w:p>
      <w:pPr>
        <w:spacing w:after="100" w:before="40"/>
      </w:pPr>
      <w:r>
        <w:rPr>
          <w:rFonts w:ascii="Arial" w:cs="Arial" w:eastAsia="Arial" w:hAnsi="Arial"/>
          <w:i/>
          <w:iCs/>
          <w:color w:val="595959"/>
          <w:sz w:val="16"/>
          <w:szCs w:val="16"/>
        </w:rPr>
        <w:t xml:space="preserve">Not: Aylık net çıkış, ilgili aydan sonraki üç ayın Tablo E-3'teki ortalamasıyla hesaplanmıştır (H).</w:t>
      </w:r>
    </w:p>
    <w:p>
      <w:pPr>
        <w:pStyle w:val="Heading1"/>
        <w:keepNext/>
        <w:spacing w:after="100" w:before="260"/>
      </w:pPr>
      <w:r>
        <w:rPr>
          <w:rFonts w:ascii="Arial" w:cs="Arial" w:eastAsia="Arial" w:hAnsi="Arial"/>
          <w:b/>
          <w:bCs/>
          <w:i w:val="false"/>
          <w:iCs w:val="false"/>
          <w:color w:val="000000"/>
          <w:sz w:val="26"/>
          <w:szCs w:val="26"/>
        </w:rPr>
        <w:t xml:space="preserve">E.9 Varsayımlar ve sınırlılıklar</w:t>
      </w:r>
    </w:p>
    <w:p>
      <w:pPr>
        <w:pStyle w:val="ListParagraph"/>
        <w:numPr>
          <w:ilvl w:val="0"/>
          <w:numId w:val="3"/>
        </w:numPr>
        <w:spacing w:after="50"/>
      </w:pPr>
      <w:r>
        <w:rPr>
          <w:rFonts w:ascii="Arial" w:cs="Arial" w:eastAsia="Arial" w:hAnsi="Arial"/>
          <w:b/>
          <w:bCs/>
          <w:sz w:val="18"/>
          <w:szCs w:val="18"/>
        </w:rPr>
        <w:t xml:space="preserve">Katkı payının dağılımı.</w:t>
      </w:r>
      <w:r>
        <w:rPr>
          <w:rFonts w:ascii="Arial" w:cs="Arial" w:eastAsia="Arial" w:hAnsi="Arial"/>
          <w:sz w:val="18"/>
          <w:szCs w:val="18"/>
        </w:rPr>
        <w:t xml:space="preserve"> Katkı payı her dönemin içinde aylara eşit dağıtılmıştır. Gelir Haziran 2027'deki MVP yayınından sonra başlarsa Ay 1–6'da nakit tablodakinden en fazla 31.752 TL (6 × 5.292 TL) düşük olur; proje dönemi toplamı değişmez.</w:t>
      </w:r>
    </w:p>
    <w:p>
      <w:pPr>
        <w:pStyle w:val="ListParagraph"/>
        <w:numPr>
          <w:ilvl w:val="0"/>
          <w:numId w:val="3"/>
        </w:numPr>
        <w:spacing w:after="50"/>
      </w:pPr>
      <w:r>
        <w:rPr>
          <w:rFonts w:ascii="Arial" w:cs="Arial" w:eastAsia="Arial" w:hAnsi="Arial"/>
          <w:b/>
          <w:bCs/>
          <w:sz w:val="18"/>
          <w:szCs w:val="18"/>
        </w:rPr>
        <w:t xml:space="preserve">Fiyat düzeyi.</w:t>
      </w:r>
      <w:r>
        <w:rPr>
          <w:rFonts w:ascii="Arial" w:cs="Arial" w:eastAsia="Arial" w:hAnsi="Arial"/>
          <w:sz w:val="18"/>
          <w:szCs w:val="18"/>
        </w:rPr>
        <w:t xml:space="preserve"> Giderler 2026 fiyatlarıyla, finansman nominal değerle gösterilmiştir. Enflasyon etkisi Tablo E-5'in üçüncü satırındadır.</w:t>
      </w:r>
    </w:p>
    <w:p>
      <w:pPr>
        <w:pStyle w:val="ListParagraph"/>
        <w:numPr>
          <w:ilvl w:val="0"/>
          <w:numId w:val="3"/>
        </w:numPr>
        <w:spacing w:after="50"/>
      </w:pPr>
      <w:r>
        <w:rPr>
          <w:rFonts w:ascii="Arial" w:cs="Arial" w:eastAsia="Arial" w:hAnsi="Arial"/>
          <w:b/>
          <w:bCs/>
          <w:sz w:val="18"/>
          <w:szCs w:val="18"/>
        </w:rPr>
        <w:t xml:space="preserve">Tahsilat ve KDV.</w:t>
      </w:r>
      <w:r>
        <w:rPr>
          <w:rFonts w:ascii="Arial" w:cs="Arial" w:eastAsia="Arial" w:hAnsi="Arial"/>
          <w:sz w:val="18"/>
          <w:szCs w:val="18"/>
        </w:rPr>
        <w:t xml:space="preserve"> Mağaza ödemelerinin ve kurumsal tahsilatın gecikmesi ile KDV'nin nakit etkisi modellenmemiştir. Proje dönemindeki gelir küçük olduğundan tahsilat gecikmesinin pist üzerindeki etkisi sınırlıdır.</w:t>
      </w:r>
    </w:p>
    <w:p>
      <w:pPr>
        <w:pStyle w:val="ListParagraph"/>
        <w:numPr>
          <w:ilvl w:val="0"/>
          <w:numId w:val="3"/>
        </w:numPr>
        <w:spacing w:after="50"/>
      </w:pPr>
      <w:r>
        <w:rPr>
          <w:rFonts w:ascii="Arial" w:cs="Arial" w:eastAsia="Arial" w:hAnsi="Arial"/>
          <w:b/>
          <w:bCs/>
          <w:sz w:val="18"/>
          <w:szCs w:val="18"/>
        </w:rPr>
        <w:t xml:space="preserve">Eksik kalemler.</w:t>
      </w:r>
      <w:r>
        <w:rPr>
          <w:rFonts w:ascii="Arial" w:cs="Arial" w:eastAsia="Arial" w:hAnsi="Arial"/>
          <w:sz w:val="18"/>
          <w:szCs w:val="18"/>
        </w:rPr>
        <w:t xml:space="preserve"> Bağımsız sızma testi ve etik kurul başvurusu bedelleri modelde ayrı satır olarak yer almamaktadır; teklif alındığında Tablo E-3 güncellenecektir. Model marka başvurusunu iki sınıf için hesaplamaktadır; İş Planı 2.6'daki üçüncü sınıfın ücreti başvuru kanalı kesinleştiğinde eklenecektir.</w:t>
      </w:r>
    </w:p>
    <w:p>
      <w:pPr>
        <w:pStyle w:val="ListParagraph"/>
        <w:numPr>
          <w:ilvl w:val="0"/>
          <w:numId w:val="3"/>
        </w:numPr>
        <w:spacing w:after="50"/>
      </w:pPr>
      <w:r>
        <w:rPr>
          <w:rFonts w:ascii="Arial" w:cs="Arial" w:eastAsia="Arial" w:hAnsi="Arial"/>
          <w:b/>
          <w:bCs/>
          <w:sz w:val="18"/>
          <w:szCs w:val="18"/>
        </w:rPr>
        <w:t xml:space="preserve">Üçüncü kurucu.</w:t>
      </w:r>
      <w:r>
        <w:rPr>
          <w:rFonts w:ascii="Arial" w:cs="Arial" w:eastAsia="Arial" w:hAnsi="Arial"/>
          <w:sz w:val="18"/>
          <w:szCs w:val="18"/>
        </w:rPr>
        <w:t xml:space="preserve"> Hamidreza Khalaj Zahraei'nin ücret statüsü kurucular sözleşmesiyle kesinleşecektir; ücretli olması hâlinde Tablo E-3'teki personel gideri ve pist buna göre güncellenir.</w:t>
      </w:r>
    </w:p>
    <w:p>
      <w:pPr>
        <w:pStyle w:val="ListParagraph"/>
        <w:numPr>
          <w:ilvl w:val="0"/>
          <w:numId w:val="3"/>
        </w:numPr>
        <w:spacing w:after="50"/>
      </w:pPr>
      <w:r>
        <w:rPr>
          <w:rFonts w:ascii="Arial" w:cs="Arial" w:eastAsia="Arial" w:hAnsi="Arial"/>
          <w:b/>
          <w:bCs/>
          <w:sz w:val="18"/>
          <w:szCs w:val="18"/>
        </w:rPr>
        <w:t xml:space="preserve">Model kaynağı.</w:t>
      </w:r>
      <w:r>
        <w:rPr>
          <w:rFonts w:ascii="Arial" w:cs="Arial" w:eastAsia="Arial" w:hAnsi="Arial"/>
          <w:sz w:val="18"/>
          <w:szCs w:val="18"/>
        </w:rPr>
        <w:t xml:space="preserve"> Aylık gider takvimi fizibilite modelinin çekirdek ekip stratejisinden, gelir ve katkı payı Ek-D'nin dönem toplamlarından alınmıştır. İki kaynak sabit gider toplamında ve kalemlerinde birebir aynıdır.</w:t>
      </w:r>
    </w:p>
    <w:p>
      <w:pPr>
        <w:pStyle w:val="Heading1"/>
        <w:keepNext/>
        <w:spacing w:after="100" w:before="260"/>
      </w:pPr>
      <w:r>
        <w:rPr>
          <w:rFonts w:ascii="Arial" w:cs="Arial" w:eastAsia="Arial" w:hAnsi="Arial"/>
          <w:b/>
          <w:bCs/>
          <w:i w:val="false"/>
          <w:iCs w:val="false"/>
          <w:color w:val="000000"/>
          <w:sz w:val="26"/>
          <w:szCs w:val="26"/>
        </w:rPr>
        <w:t xml:space="preserve">E.10 Kaynaklar</w:t>
      </w:r>
    </w:p>
    <w:p>
      <w:pPr>
        <w:keepNext/>
        <w:spacing w:after="60" w:before="140"/>
      </w:pPr>
      <w:r>
        <w:rPr>
          <w:rFonts w:ascii="Arial" w:cs="Arial" w:eastAsia="Arial" w:hAnsi="Arial"/>
          <w:b/>
          <w:bCs/>
          <w:sz w:val="18"/>
          <w:szCs w:val="18"/>
        </w:rPr>
        <w:t xml:space="preserve">Tablo E-8. Kaynaklar</w:t>
      </w:r>
    </w:p>
    <w:tbl>
      <w:tblPr>
        <w:tblW w:type="dxa" w:w="14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38"/>
        <w:gridCol w:w="13800"/>
      </w:tblGrid>
      <w:tr>
        <w:trPr>
          <w:cantSplit/>
          <w:tblHeader/>
        </w:trPr>
        <w:tc>
          <w:tcPr>
            <w:tcW w:type="dxa" w:w="1038"/>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No</w:t>
            </w:r>
          </w:p>
        </w:tc>
        <w:tc>
          <w:tcPr>
            <w:tcW w:type="dxa" w:w="138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Kaynak</w:t>
            </w:r>
          </w:p>
        </w:tc>
      </w:tr>
      <w:tr>
        <w:trPr>
          <w:cantSplit/>
          <w:tblHeader w:val="off"/>
        </w:trPr>
        <w:tc>
          <w:tcPr>
            <w:tcW w:type="dxa" w:w="103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[K1]</w:t>
            </w:r>
          </w:p>
        </w:tc>
        <w:tc>
          <w:tcPr>
            <w:tcW w:type="dxa" w:w="13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TÜBİTAK, "1812-2026-2 Tohum Öncesi Yatırım Çağrısı Duyurusu v2", Eylül 2026: §5.5 (yatırım süreci ve devam yatırımı), §6 (altışar aylık izleme), §7 (çağrı takvimi). </w:t>
            </w:r>
            <w:hyperlink w:history="1" r:id="rIdoehuq6fxhao8fv4wi8ga8">
              <w:r>
                <w:rPr>
                  <w:rFonts w:ascii="Arial" w:cs="Arial" w:eastAsia="Arial" w:hAnsi="Arial"/>
                  <w:color w:val="1F4E79"/>
                  <w:sz w:val="17"/>
                  <w:szCs w:val="17"/>
                </w:rPr>
                <w:t xml:space="preserve">https://tubitak.gov.tr/sites/default/files/2026-09/1812-2026-2_Cagri_Duyurusu_v2.pdf</w:t>
              </w:r>
            </w:hyperlink>
            <w:r>
              <w:rPr>
                <w:rFonts w:ascii="Arial" w:cs="Arial" w:eastAsia="Arial" w:hAnsi="Arial"/>
                <w:sz w:val="17"/>
                <w:szCs w:val="17"/>
              </w:rPr>
              <w:t xml:space="preserve"> (erişim 30.09.2026)</w:t>
            </w:r>
          </w:p>
        </w:tc>
      </w:tr>
      <w:tr>
        <w:trPr>
          <w:cantSplit/>
          <w:tblHeader w:val="off"/>
        </w:trPr>
        <w:tc>
          <w:tcPr>
            <w:tcW w:type="dxa" w:w="103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[K2]</w:t>
            </w:r>
          </w:p>
        </w:tc>
        <w:tc>
          <w:tcPr>
            <w:tcW w:type="dxa" w:w="13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TÜBİTAK BİGG Fonu, "TÜBİTAK BiGG Fonu Yatırım Kılavuzu", 04.12.2025, madde 5 (para transfer süreci). </w:t>
            </w:r>
            <w:hyperlink w:history="1" r:id="rIdwvmam0awhncw5znsuf0rd">
              <w:r>
                <w:rPr>
                  <w:rFonts w:ascii="Arial" w:cs="Arial" w:eastAsia="Arial" w:hAnsi="Arial"/>
                  <w:color w:val="1F4E79"/>
                  <w:sz w:val="17"/>
                  <w:szCs w:val="17"/>
                </w:rPr>
                <w:t xml:space="preserve">https://tubitak.gov.tr/sites/default/files/2025-12/fon_yatirim_kilavuzu_TBF_202501_v2.pdf</w:t>
              </w:r>
            </w:hyperlink>
            <w:r>
              <w:rPr>
                <w:rFonts w:ascii="Arial" w:cs="Arial" w:eastAsia="Arial" w:hAnsi="Arial"/>
                <w:sz w:val="17"/>
                <w:szCs w:val="17"/>
              </w:rPr>
              <w:t xml:space="preserve"> (erişim 30.09.2026)</w:t>
            </w:r>
          </w:p>
        </w:tc>
      </w:tr>
      <w:tr>
        <w:trPr>
          <w:cantSplit/>
          <w:tblHeader w:val="off"/>
        </w:trPr>
        <w:tc>
          <w:tcPr>
            <w:tcW w:type="dxa" w:w="103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[K3]</w:t>
            </w:r>
          </w:p>
        </w:tc>
        <w:tc>
          <w:tcPr>
            <w:tcW w:type="dxa" w:w="13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TÜBİTAK, "1812 Yatırım Tabanlı Girişimcilik Destekleme Programı Uygulama Esasları" (72 YK; işlenmiş hâli 05.01.2026). </w:t>
            </w:r>
            <w:hyperlink w:history="1" r:id="rIdc-mja5x3bgcx7kbo6brub">
              <w:r>
                <w:rPr>
                  <w:rFonts w:ascii="Arial" w:cs="Arial" w:eastAsia="Arial" w:hAnsi="Arial"/>
                  <w:color w:val="1F4E79"/>
                  <w:sz w:val="17"/>
                  <w:szCs w:val="17"/>
                </w:rPr>
                <w:t xml:space="preserve">https://tubitak.gov.tr/sites/default/files/2026-01/1812_72YK_islenmis_hali.pdf</w:t>
              </w:r>
            </w:hyperlink>
            <w:r>
              <w:rPr>
                <w:rFonts w:ascii="Arial" w:cs="Arial" w:eastAsia="Arial" w:hAnsi="Arial"/>
                <w:sz w:val="17"/>
                <w:szCs w:val="17"/>
              </w:rPr>
              <w:t xml:space="preserve"> (erişim 30.09.2026)</w:t>
            </w:r>
          </w:p>
        </w:tc>
      </w:tr>
      <w:tr>
        <w:trPr>
          <w:cantSplit/>
          <w:tblHeader w:val="off"/>
        </w:trPr>
        <w:tc>
          <w:tcPr>
            <w:tcW w:type="dxa" w:w="103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[K4]</w:t>
            </w:r>
          </w:p>
        </w:tc>
        <w:tc>
          <w:tcPr>
            <w:tcW w:type="dxa" w:w="13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TÜBİTAK BİGG Fonu, "Yatırım ve Pay Sahipleri Sözleşmesi, kuruluş ve tek yatırımcı" şablonu, TBF_202502_v3 (Aralık 2025): madde 2 (sermaye ödemesi), madde 3.3 (raporlama). </w:t>
            </w:r>
            <w:hyperlink w:history="1" r:id="rIdepiwnhrr0xpxm9fpv4wky">
              <w:r>
                <w:rPr>
                  <w:rFonts w:ascii="Arial" w:cs="Arial" w:eastAsia="Arial" w:hAnsi="Arial"/>
                  <w:color w:val="1F4E79"/>
                  <w:sz w:val="17"/>
                  <w:szCs w:val="17"/>
                </w:rPr>
                <w:t xml:space="preserve">https://tubitak.gov.tr/sites/default/files/2025-12/ypss_kurulus_tek_yatirimci_TBF_202502_v3.docx</w:t>
              </w:r>
            </w:hyperlink>
            <w:r>
              <w:rPr>
                <w:rFonts w:ascii="Arial" w:cs="Arial" w:eastAsia="Arial" w:hAnsi="Arial"/>
                <w:sz w:val="17"/>
                <w:szCs w:val="17"/>
              </w:rPr>
              <w:t xml:space="preserve"> (erişim 30.09.2026)</w:t>
            </w:r>
          </w:p>
        </w:tc>
      </w:tr>
      <w:tr>
        <w:trPr>
          <w:cantSplit/>
          <w:tblHeader w:val="off"/>
        </w:trPr>
        <w:tc>
          <w:tcPr>
            <w:tcW w:type="dxa" w:w="103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[K5]</w:t>
            </w:r>
          </w:p>
        </w:tc>
        <w:tc>
          <w:tcPr>
            <w:tcW w:type="dxa" w:w="13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MotoMap, Ek-D Sayısal Fizibilite Özeti: Tablo D-1, D-1b, D-2, D-5, D-8, D-9.</w:t>
            </w:r>
          </w:p>
        </w:tc>
      </w:tr>
      <w:tr>
        <w:trPr>
          <w:cantSplit/>
          <w:tblHeader w:val="off"/>
        </w:trPr>
        <w:tc>
          <w:tcPr>
            <w:tcW w:type="dxa" w:w="103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[K6]</w:t>
            </w:r>
          </w:p>
        </w:tc>
        <w:tc>
          <w:tcPr>
            <w:tcW w:type="dxa" w:w="138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MotoMap fizibilite modeli (Ek 6 v3), çekirdek ekip stratejisi H, temel parametre çekilişi, tohum 20260923: aylık gider serileri. Model kodu ve testleri ayrı dosyalardadır.</w:t>
            </w:r>
          </w:p>
        </w:tc>
      </w:tr>
    </w:tbl>
    <w:p>
      <w:pPr>
        <w:spacing w:after="60"/>
      </w:pPr>
    </w:p>
    <w:sectPr>
      <w:footerReference w:type="default" r:id="rId6"/>
      <w:pgSz w:w="16838" w:h="11906" w:orient="landscape"/>
      <w:pgMar w:top="1000" w:right="1000" w:bottom="10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5"/>
        <w:szCs w:val="15"/>
      </w:rPr>
      <w:t xml:space="preserve">MotoMap · AGY 112 · Ek-E · </w:t>
    </w:r>
    <w:r>
      <w:rPr>
        <w:rFonts w:ascii="Arial" w:cs="Arial" w:eastAsia="Arial" w:hAnsi="Arial"/>
        <w:color w:val="59595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rFonts w:ascii="Arial" w:cs="Arial" w:eastAsia="Arial" w:hAnsi="Arial"/>
      </w:rPr>
    </w:lvl>
  </w:abstractNum>
  <w:abstractNum w:abstractNumId="3" w15:restartNumberingAfterBreak="0">
    <w:multiLevelType w:val="hybridMultilevel"/>
    <w:lvl w:ilvl="0" w:tentative="1">
      <w:start w:val="1"/>
      <w:numFmt w:val="decimal"/>
      <w:lvlText w:val="%1."/>
      <w:lvlJc w:val="left"/>
      <w:pPr>
        <w:ind w:left="400" w:hanging="30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60"/>
      <w:outlineLvl w:val="0"/>
    </w:pPr>
    <w:rPr>
      <w:rFonts w:ascii="Arial" w:cs="Arial" w:eastAsia="Arial" w:hAnsi="Arial"/>
      <w:b/>
      <w:bCs/>
      <w:color w:val="000000"/>
      <w:sz w:val="26"/>
      <w:szCs w:val="26"/>
    </w:rPr>
  </w:style>
  <w:style w:type="paragraph" w:styleId="Heading2">
    <w:name w:val="Heading 2"/>
    <w:basedOn w:val="Normal"/>
    <w:next w:val="Normal"/>
    <w:qFormat/>
    <w:pPr>
      <w:spacing w:after="80" w:before="180"/>
      <w:outlineLvl w:val="1"/>
    </w:pPr>
    <w:rPr>
      <w:rFonts w:ascii="Arial" w:cs="Arial" w:eastAsia="Arial" w:hAnsi="Arial"/>
      <w:b/>
      <w:bCs/>
      <w:color w:val="000000"/>
      <w:sz w:val="21"/>
      <w:szCs w:val="21"/>
    </w:rPr>
  </w:style>
  <w:style w:type="paragraph" w:styleId="Heading3">
    <w:name w:val="Heading 3"/>
    <w:basedOn w:val="Normal"/>
    <w:next w:val="Normal"/>
    <w:qFormat/>
    <w:pPr>
      <w:spacing w:after="60" w:before="140"/>
      <w:outlineLvl w:val="2"/>
    </w:pPr>
    <w:rPr>
      <w:rFonts w:ascii="Arial" w:cs="Arial" w:eastAsia="Arial" w:hAnsi="Arial"/>
      <w:b/>
      <w:bCs/>
      <w:i/>
      <w:iCs/>
      <w:color w:val="000000"/>
      <w:sz w:val="19"/>
      <w:szCs w:val="19"/>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oehuq6fxhao8fv4wi8ga8" Type="http://schemas.openxmlformats.org/officeDocument/2006/relationships/hyperlink" Target="https://tubitak.gov.tr/sites/default/files/2026-09/1812-2026-2_Cagri_Duyurusu_v2.pdf" TargetMode="External"/><Relationship Id="rIdwvmam0awhncw5znsuf0rd" Type="http://schemas.openxmlformats.org/officeDocument/2006/relationships/hyperlink" Target="https://tubitak.gov.tr/sites/default/files/2025-12/fon_yatirim_kilavuzu_TBF_202501_v2.pdf" TargetMode="External"/><Relationship Id="rIdc-mja5x3bgcx7kbo6brub" Type="http://schemas.openxmlformats.org/officeDocument/2006/relationships/hyperlink" Target="https://tubitak.gov.tr/sites/default/files/2026-01/1812_72YK_islenmis_hali.pdf" TargetMode="External"/><Relationship Id="rIdepiwnhrr0xpxm9fpv4wky" Type="http://schemas.openxmlformats.org/officeDocument/2006/relationships/hyperlink" Target="https://tubitak.gov.tr/sites/default/files/2025-12/ypss_kurulus_tek_yatirimci_TBF_202502_v3.docx"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Ek-E Nakit Akışı, Nakit Pisti ve Finansman Senaryoları</dc:title>
  <dc:creator>MotoMap</dc:creator>
  <cp:lastModifiedBy>Un-named</cp:lastModifiedBy>
  <cp:revision>1</cp:revision>
  <dcterms:created xsi:type="dcterms:W3CDTF">2026-09-30T16:41:28.633Z</dcterms:created>
  <dcterms:modified xsi:type="dcterms:W3CDTF">2026-09-30T16:41:28.633Z</dcterms:modified>
</cp:coreProperties>
</file>

<file path=docProps/custom.xml><?xml version="1.0" encoding="utf-8"?>
<Properties xmlns="http://schemas.openxmlformats.org/officeDocument/2006/custom-properties" xmlns:vt="http://schemas.openxmlformats.org/officeDocument/2006/docPropsVTypes"/>
</file>