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Ek-F</w:t>
      </w:r>
    </w:p>
    <w:p>
      <w:pPr>
        <w:spacing w:after="60"/>
      </w:pPr>
      <w:r>
        <w:rPr>
          <w:rFonts w:ascii="Arial" w:cs="Arial" w:eastAsia="Arial" w:hAnsi="Arial"/>
          <w:b/>
          <w:bCs/>
          <w:sz w:val="36"/>
          <w:szCs w:val="36"/>
        </w:rPr>
        <w:t xml:space="preserve">Pazar Verileri ve Resmî Kaynak Dosyası</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F.1 Amaç ve kapsam</w:t>
      </w:r>
    </w:p>
    <w:p>
      <w:pPr>
        <w:spacing w:after="90"/>
      </w:pPr>
      <w:r>
        <w:rPr>
          <w:rFonts w:ascii="Arial" w:cs="Arial" w:eastAsia="Arial" w:hAnsi="Arial"/>
          <w:sz w:val="18"/>
          <w:szCs w:val="18"/>
        </w:rPr>
        <w:t xml:space="preserve">Bu ek, İş Planı 1.1, 1.2, 1.4, 1.7 ve 1.8 alanlarında kullanılan pazar büyüklüğü, büyüme eğilimi, mevsimsellik ve sosyal fayda rakamlarının kaynaklarını tek yerde toplamak amacıyla hazırlanmıştır; her rakam için yayımlayan kurum, belge ya da tablo adı, veri ve yayım tarihi, bağlantı, erişim tarihi ve rakamın kullanıldığı plan alanı verilmektedir. Pazar büyüklüğü hesaplarının formülleri F.4'te, plan değerleriyle kaynak değerlerinin karşılaştırması F.5'te yer almaktadır.</w:t>
      </w:r>
    </w:p>
    <w:p>
      <w:pPr>
        <w:spacing w:after="90"/>
      </w:pPr>
      <w:r>
        <w:rPr>
          <w:rFonts w:ascii="Arial" w:cs="Arial" w:eastAsia="Arial" w:hAnsi="Arial"/>
          <w:sz w:val="18"/>
          <w:szCs w:val="18"/>
        </w:rPr>
        <w:t xml:space="preserve">Ek şu veri gruplarını kapsamaktadır:</w:t>
      </w:r>
    </w:p>
    <w:p>
      <w:pPr>
        <w:pStyle w:val="ListParagraph"/>
        <w:numPr>
          <w:ilvl w:val="0"/>
          <w:numId w:val="2"/>
        </w:numPr>
        <w:spacing w:after="50"/>
      </w:pPr>
      <w:r>
        <w:rPr>
          <w:rFonts w:ascii="Arial" w:cs="Arial" w:eastAsia="Arial" w:hAnsi="Arial"/>
          <w:sz w:val="18"/>
          <w:szCs w:val="18"/>
        </w:rPr>
        <w:t xml:space="preserve">Türkiye İstatistik Kurumu (TÜİK) kayıtlı motosiklet sayıları: Ağustos 2026 parkı; İstanbul, Antalya ve İzmir değerleri; 2021 yıl sonu parkı; 2024 ve 2025 yıllarında trafiğe kaydı yapılan motosikletler.</w:t>
      </w:r>
    </w:p>
    <w:p>
      <w:pPr>
        <w:pStyle w:val="ListParagraph"/>
        <w:numPr>
          <w:ilvl w:val="0"/>
          <w:numId w:val="2"/>
        </w:numPr>
        <w:spacing w:after="50"/>
      </w:pPr>
      <w:r>
        <w:rPr>
          <w:rFonts w:ascii="Arial" w:cs="Arial" w:eastAsia="Arial" w:hAnsi="Arial"/>
          <w:sz w:val="18"/>
          <w:szCs w:val="18"/>
        </w:rPr>
        <w:t xml:space="preserve">Ulaştırma ve Altyapı Bakanlığı (UAB) kurye yetki belgesi ve kurye taşıtı sayıları ile çok taşıtlı işletmelere ilişkin türetilmiş hesap.</w:t>
      </w:r>
    </w:p>
    <w:p>
      <w:pPr>
        <w:pStyle w:val="ListParagraph"/>
        <w:numPr>
          <w:ilvl w:val="0"/>
          <w:numId w:val="2"/>
        </w:numPr>
        <w:spacing w:after="50"/>
      </w:pPr>
      <w:r>
        <w:rPr>
          <w:rFonts w:ascii="Arial" w:cs="Arial" w:eastAsia="Arial" w:hAnsi="Arial"/>
          <w:sz w:val="18"/>
          <w:szCs w:val="18"/>
        </w:rPr>
        <w:t xml:space="preserve">Eurostat verisine göre İtalya ve İspanya motosiklet parkı.</w:t>
      </w:r>
    </w:p>
    <w:p>
      <w:pPr>
        <w:pStyle w:val="ListParagraph"/>
        <w:numPr>
          <w:ilvl w:val="0"/>
          <w:numId w:val="2"/>
        </w:numPr>
        <w:spacing w:after="50"/>
      </w:pPr>
      <w:r>
        <w:rPr>
          <w:rFonts w:ascii="Arial" w:cs="Arial" w:eastAsia="Arial" w:hAnsi="Arial"/>
          <w:sz w:val="18"/>
          <w:szCs w:val="18"/>
        </w:rPr>
        <w:t xml:space="preserve">INRIX 2025 Küresel Trafik Karnesi (2025 INRIX Global Traffic Scorecard) sıralaması.</w:t>
      </w:r>
    </w:p>
    <w:p>
      <w:pPr>
        <w:pStyle w:val="ListParagraph"/>
        <w:numPr>
          <w:ilvl w:val="0"/>
          <w:numId w:val="2"/>
        </w:numPr>
        <w:spacing w:after="50"/>
      </w:pPr>
      <w:r>
        <w:rPr>
          <w:rFonts w:ascii="Arial" w:cs="Arial" w:eastAsia="Arial" w:hAnsi="Arial"/>
          <w:sz w:val="18"/>
          <w:szCs w:val="18"/>
        </w:rPr>
        <w:t xml:space="preserve">TÜİK 2025 karayolu trafik kaza istatistikleri ve Kurye Hakları Derneği motokurye ölüm kaydı.</w:t>
      </w:r>
    </w:p>
    <w:p>
      <w:pPr>
        <w:pStyle w:val="ListParagraph"/>
        <w:numPr>
          <w:ilvl w:val="0"/>
          <w:numId w:val="2"/>
        </w:numPr>
        <w:spacing w:after="50"/>
      </w:pPr>
      <w:r>
        <w:rPr>
          <w:rFonts w:ascii="Arial" w:cs="Arial" w:eastAsia="Arial" w:hAnsi="Arial"/>
          <w:sz w:val="18"/>
          <w:szCs w:val="18"/>
        </w:rPr>
        <w:t xml:space="preserve">Google Trends mevsimsellik çıktısı ve yöntem notu.</w:t>
      </w:r>
    </w:p>
    <w:p>
      <w:pPr>
        <w:spacing w:after="90"/>
      </w:pPr>
      <w:r>
        <w:rPr>
          <w:rFonts w:ascii="Arial" w:cs="Arial" w:eastAsia="Arial" w:hAnsi="Arial"/>
          <w:sz w:val="18"/>
          <w:szCs w:val="18"/>
        </w:rPr>
        <w:t xml:space="preserve">Web kaynaklarına erişim tarihi 30.09.2026'dır. İç dosyalar, dosya yolu ve kayıt tarihiyle birlikte verilmiştir.</w:t>
      </w:r>
    </w:p>
    <w:p>
      <w:pPr>
        <w:pStyle w:val="Heading1"/>
        <w:keepNext/>
        <w:spacing w:after="100" w:before="260"/>
      </w:pPr>
      <w:r>
        <w:rPr>
          <w:rFonts w:ascii="Arial" w:cs="Arial" w:eastAsia="Arial" w:hAnsi="Arial"/>
          <w:b/>
          <w:bCs/>
          <w:i w:val="false"/>
          <w:iCs w:val="false"/>
          <w:color w:val="000000"/>
          <w:sz w:val="26"/>
          <w:szCs w:val="26"/>
        </w:rPr>
        <w:t xml:space="preserve">F.2 Yöntem</w:t>
      </w:r>
    </w:p>
    <w:p>
      <w:pPr>
        <w:pStyle w:val="Heading2"/>
        <w:keepNext/>
        <w:spacing w:after="80" w:before="180"/>
      </w:pPr>
      <w:r>
        <w:rPr>
          <w:rFonts w:ascii="Arial" w:cs="Arial" w:eastAsia="Arial" w:hAnsi="Arial"/>
          <w:b/>
          <w:bCs/>
          <w:i w:val="false"/>
          <w:iCs w:val="false"/>
          <w:color w:val="000000"/>
          <w:sz w:val="21"/>
          <w:szCs w:val="21"/>
        </w:rPr>
        <w:t xml:space="preserve">F.2.1 Kaynak seçimi ve okuma</w:t>
      </w:r>
    </w:p>
    <w:p>
      <w:pPr>
        <w:pStyle w:val="ListParagraph"/>
        <w:numPr>
          <w:ilvl w:val="0"/>
          <w:numId w:val="2"/>
        </w:numPr>
        <w:spacing w:after="50"/>
      </w:pPr>
      <w:r>
        <w:rPr>
          <w:rFonts w:ascii="Arial" w:cs="Arial" w:eastAsia="Arial" w:hAnsi="Arial"/>
          <w:b/>
          <w:bCs/>
          <w:sz w:val="18"/>
          <w:szCs w:val="18"/>
        </w:rPr>
        <w:t xml:space="preserve">Kaynak sırası.</w:t>
      </w:r>
      <w:r>
        <w:rPr>
          <w:rFonts w:ascii="Arial" w:cs="Arial" w:eastAsia="Arial" w:hAnsi="Arial"/>
          <w:sz w:val="18"/>
          <w:szCs w:val="18"/>
        </w:rPr>
        <w:t xml:space="preserve"> Her rakam için önce yayımlayan kurumun kendi belgesi kullanılmıştır: TÜİK haber bültenleri ve bültenlere ekli istatistiksel tablolar, UAB duyurusu, Resmî Gazete, Eurostat veri tabanı, INRIX yayını ve Kurye Hakları Derneği raporu. Basın aktarımı yalnız birincil değerle karşılaştırma için verilmiştir.</w:t>
      </w:r>
    </w:p>
    <w:p>
      <w:pPr>
        <w:pStyle w:val="ListParagraph"/>
        <w:numPr>
          <w:ilvl w:val="0"/>
          <w:numId w:val="2"/>
        </w:numPr>
        <w:spacing w:after="50"/>
      </w:pPr>
      <w:r>
        <w:rPr>
          <w:rFonts w:ascii="Arial" w:cs="Arial" w:eastAsia="Arial" w:hAnsi="Arial"/>
          <w:b/>
          <w:bCs/>
          <w:sz w:val="18"/>
          <w:szCs w:val="18"/>
        </w:rPr>
        <w:t xml:space="preserve">TÜİK.</w:t>
      </w:r>
      <w:r>
        <w:rPr>
          <w:rFonts w:ascii="Arial" w:cs="Arial" w:eastAsia="Arial" w:hAnsi="Arial"/>
          <w:sz w:val="18"/>
          <w:szCs w:val="18"/>
        </w:rPr>
        <w:t xml:space="preserve"> Bülten metinleri ve ekli tablolar (XLS) TÜİK Veri Portalı'ndan 30.09.2026'da alınmıştır. Park ve il değerleri "Motorlu Kara Taşıtları, Ağustos 2026" bülteninin "İllere göre motorlu kara taşıtları sayısı" ve "Yıllara göre motorlu kara taşıtları sayısı" tablolarından; yıllık tescil sayıları "Motorlu Kara Taşıtları, Aralık 2025" bülteninin "Ay ve yıllara göre kaydı yapılan ve kaydı silinen motorlu kara taşıtları sayısı" tablosundan okunmuştur.</w:t>
      </w:r>
    </w:p>
    <w:p>
      <w:pPr>
        <w:pStyle w:val="ListParagraph"/>
        <w:numPr>
          <w:ilvl w:val="0"/>
          <w:numId w:val="2"/>
        </w:numPr>
        <w:spacing w:after="50"/>
      </w:pPr>
      <w:r>
        <w:rPr>
          <w:rFonts w:ascii="Arial" w:cs="Arial" w:eastAsia="Arial" w:hAnsi="Arial"/>
          <w:b/>
          <w:bCs/>
          <w:sz w:val="18"/>
          <w:szCs w:val="18"/>
        </w:rPr>
        <w:t xml:space="preserve">Eurostat.</w:t>
      </w:r>
      <w:r>
        <w:rPr>
          <w:rFonts w:ascii="Arial" w:cs="Arial" w:eastAsia="Arial" w:hAnsi="Arial"/>
          <w:sz w:val="18"/>
          <w:szCs w:val="18"/>
        </w:rPr>
        <w:t xml:space="preserve"> "road_eqs_motorc" ve "road_eqs_mopeds" veri setleri, İtalya ve İspanya için Eurostat'ın veri yayım arayüzü (API) üzerinden sorgulanmıştır. İki veri setinin son güncelleme tarihi 30.07.2026'dır.</w:t>
      </w:r>
    </w:p>
    <w:p>
      <w:pPr>
        <w:pStyle w:val="ListParagraph"/>
        <w:numPr>
          <w:ilvl w:val="0"/>
          <w:numId w:val="2"/>
        </w:numPr>
        <w:spacing w:after="50"/>
      </w:pPr>
      <w:r>
        <w:rPr>
          <w:rFonts w:ascii="Arial" w:cs="Arial" w:eastAsia="Arial" w:hAnsi="Arial"/>
          <w:b/>
          <w:bCs/>
          <w:sz w:val="18"/>
          <w:szCs w:val="18"/>
        </w:rPr>
        <w:t xml:space="preserve">Google Trends.</w:t>
      </w:r>
      <w:r>
        <w:rPr>
          <w:rFonts w:ascii="Arial" w:cs="Arial" w:eastAsia="Arial" w:hAnsi="Arial"/>
          <w:sz w:val="18"/>
          <w:szCs w:val="18"/>
        </w:rPr>
        <w:t xml:space="preserve"> Seriler, v15 fizibilite modelinin veri klasöründeki dosyalardan alınmıştır (indirme tarihi 23.09.2026). Serilerin 30.09.2026'da Google Trends sayfasından yeniden açılması denenmiş, istek "429 Too Many Requests" yanıtıyla reddedilmiştir. Mevsim endeksi bu nedenle iç kayıt olarak sunulmaktadır; hesap aynı dosyalarla yeniden çalıştırılarak denetlenmiştir.</w:t>
      </w:r>
    </w:p>
    <w:p>
      <w:pPr>
        <w:pStyle w:val="Heading2"/>
        <w:keepNext/>
        <w:spacing w:after="80" w:before="180"/>
      </w:pPr>
      <w:r>
        <w:rPr>
          <w:rFonts w:ascii="Arial" w:cs="Arial" w:eastAsia="Arial" w:hAnsi="Arial"/>
          <w:b/>
          <w:bCs/>
          <w:i w:val="false"/>
          <w:iCs w:val="false"/>
          <w:color w:val="000000"/>
          <w:sz w:val="21"/>
          <w:szCs w:val="21"/>
        </w:rPr>
        <w:t xml:space="preserve">F.2.2 Durum etiketleri ve hesap kuralları</w:t>
      </w:r>
    </w:p>
    <w:p>
      <w:pPr>
        <w:pStyle w:val="ListParagraph"/>
        <w:numPr>
          <w:ilvl w:val="0"/>
          <w:numId w:val="2"/>
        </w:numPr>
        <w:spacing w:after="50"/>
      </w:pPr>
      <w:r>
        <w:rPr>
          <w:rFonts w:ascii="Arial" w:cs="Arial" w:eastAsia="Arial" w:hAnsi="Arial"/>
          <w:b/>
          <w:bCs/>
          <w:sz w:val="18"/>
          <w:szCs w:val="18"/>
        </w:rPr>
        <w:t xml:space="preserve">Doğrulandı:</w:t>
      </w:r>
      <w:r>
        <w:rPr>
          <w:rFonts w:ascii="Arial" w:cs="Arial" w:eastAsia="Arial" w:hAnsi="Arial"/>
          <w:sz w:val="18"/>
          <w:szCs w:val="18"/>
        </w:rPr>
        <w:t xml:space="preserve"> Değer birincil kaynakta aynı biçimde yer almaktadır.</w:t>
      </w:r>
    </w:p>
    <w:p>
      <w:pPr>
        <w:pStyle w:val="ListParagraph"/>
        <w:numPr>
          <w:ilvl w:val="0"/>
          <w:numId w:val="2"/>
        </w:numPr>
        <w:spacing w:after="50"/>
      </w:pPr>
      <w:r>
        <w:rPr>
          <w:rFonts w:ascii="Arial" w:cs="Arial" w:eastAsia="Arial" w:hAnsi="Arial"/>
          <w:b/>
          <w:bCs/>
          <w:sz w:val="18"/>
          <w:szCs w:val="18"/>
        </w:rPr>
        <w:t xml:space="preserve">Türetilmiş:</w:t>
      </w:r>
      <w:r>
        <w:rPr>
          <w:rFonts w:ascii="Arial" w:cs="Arial" w:eastAsia="Arial" w:hAnsi="Arial"/>
          <w:sz w:val="18"/>
          <w:szCs w:val="18"/>
        </w:rPr>
        <w:t xml:space="preserve"> Değer kaynaklı sayılardan bu ekte hesaplanmıştır; formül yanında verilmiştir.</w:t>
      </w:r>
    </w:p>
    <w:p>
      <w:pPr>
        <w:pStyle w:val="ListParagraph"/>
        <w:numPr>
          <w:ilvl w:val="0"/>
          <w:numId w:val="2"/>
        </w:numPr>
        <w:spacing w:after="50"/>
      </w:pPr>
      <w:r>
        <w:rPr>
          <w:rFonts w:ascii="Arial" w:cs="Arial" w:eastAsia="Arial" w:hAnsi="Arial"/>
          <w:b/>
          <w:bCs/>
          <w:sz w:val="18"/>
          <w:szCs w:val="18"/>
        </w:rPr>
        <w:t xml:space="preserve">İç kayıt:</w:t>
      </w:r>
      <w:r>
        <w:rPr>
          <w:rFonts w:ascii="Arial" w:cs="Arial" w:eastAsia="Arial" w:hAnsi="Arial"/>
          <w:sz w:val="18"/>
          <w:szCs w:val="18"/>
        </w:rPr>
        <w:t xml:space="preserve"> Değer, bu çalışmada web üzerinden yeniden doğrulanamamış bir iç dosyaya dayanmaktadır.</w:t>
      </w:r>
    </w:p>
    <w:p>
      <w:pPr>
        <w:pStyle w:val="ListParagraph"/>
        <w:numPr>
          <w:ilvl w:val="0"/>
          <w:numId w:val="2"/>
        </w:numPr>
        <w:spacing w:after="50"/>
      </w:pPr>
      <w:r>
        <w:rPr>
          <w:rFonts w:ascii="Arial" w:cs="Arial" w:eastAsia="Arial" w:hAnsi="Arial"/>
          <w:b/>
          <w:bCs/>
          <w:sz w:val="18"/>
          <w:szCs w:val="18"/>
        </w:rPr>
        <w:t xml:space="preserve">Fark var:</w:t>
      </w:r>
      <w:r>
        <w:rPr>
          <w:rFonts w:ascii="Arial" w:cs="Arial" w:eastAsia="Arial" w:hAnsi="Arial"/>
          <w:sz w:val="18"/>
          <w:szCs w:val="18"/>
        </w:rPr>
        <w:t xml:space="preserve"> Plan değeri, kaynak değerinden ya da kaynaktan yapılan hesaptan ayrışmaktadır.</w:t>
      </w:r>
    </w:p>
    <w:p>
      <w:pPr>
        <w:spacing w:after="90"/>
      </w:pPr>
      <w:r>
        <w:rPr>
          <w:rFonts w:ascii="Arial" w:cs="Arial" w:eastAsia="Arial" w:hAnsi="Arial"/>
          <w:sz w:val="18"/>
          <w:szCs w:val="18"/>
        </w:rPr>
        <w:t xml:space="preserve">Hesaplar yuvarlanmamış değerlerle yapılmış, sonuçlar plandaki gösterimle karşılaştırılabilecek düzeye yuvarlanmıştır. Pazar büyüklüğü tutarları katma değer vergisi (KDV) hariç TL'dir.</w:t>
      </w:r>
    </w:p>
    <w:p>
      <w:pPr>
        <w:pStyle w:val="Heading1"/>
        <w:keepNext/>
        <w:spacing w:after="100" w:before="260"/>
      </w:pPr>
      <w:r>
        <w:rPr>
          <w:rFonts w:ascii="Arial" w:cs="Arial" w:eastAsia="Arial" w:hAnsi="Arial"/>
          <w:b/>
          <w:bCs/>
          <w:i w:val="false"/>
          <w:iCs w:val="false"/>
          <w:color w:val="000000"/>
          <w:sz w:val="26"/>
          <w:szCs w:val="26"/>
        </w:rPr>
        <w:t xml:space="preserve">F.3 Kaynak tabloları</w:t>
      </w:r>
    </w:p>
    <w:p>
      <w:pPr>
        <w:pStyle w:val="Heading2"/>
        <w:keepNext/>
        <w:spacing w:after="80" w:before="180"/>
      </w:pPr>
      <w:r>
        <w:rPr>
          <w:rFonts w:ascii="Arial" w:cs="Arial" w:eastAsia="Arial" w:hAnsi="Arial"/>
          <w:b/>
          <w:bCs/>
          <w:i w:val="false"/>
          <w:iCs w:val="false"/>
          <w:color w:val="000000"/>
          <w:sz w:val="21"/>
          <w:szCs w:val="21"/>
        </w:rPr>
        <w:t xml:space="preserve">F.3.1 Motosiklet parkı, il değerleri ve yıllık tescil</w:t>
      </w:r>
    </w:p>
    <w:p>
      <w:pPr>
        <w:keepNext/>
        <w:spacing w:after="60" w:before="140"/>
      </w:pPr>
      <w:r>
        <w:rPr>
          <w:rFonts w:ascii="Arial" w:cs="Arial" w:eastAsia="Arial" w:hAnsi="Arial"/>
          <w:b/>
          <w:bCs/>
          <w:sz w:val="18"/>
          <w:szCs w:val="18"/>
        </w:rPr>
        <w:t xml:space="preserve">Tablo F-1. Türkiye motosiklet parkı, il değerleri ve yıllık tescil sayıları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2225"/>
        <w:gridCol w:w="3264"/>
        <w:gridCol w:w="1780"/>
        <w:gridCol w:w="2819"/>
        <w:gridCol w:w="1038"/>
        <w:gridCol w:w="1338"/>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ve yayım tarihi</w:t>
            </w:r>
          </w:p>
        </w:tc>
        <w:tc>
          <w:tcPr>
            <w:tcW w:type="dxa" w:w="281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3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Türkiye</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7.608.433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TÜİK, "Motorlu Kara Taşıtları, Ağustos 2026"; tablo "İllere göre motorlu kara taşıtları sayısı"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 yayım 16.09.2026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ipif47ozmmwd19cjhawyu">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1.1, 1.2, 1.4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toplam taşıt ve motosiklet payı</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34.911.879 taşıt; motosiklet payı %21,8 (hesap: %21,79)</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bülten metni ve aynı tablo</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 yayım 16.09.2026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goieycfvj4ssde-jpqave">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İstanbul</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971.480</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tablo "İllere göre motorlu kara taşıtları sayısı"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ftlzhxgmt6obewtgyssbg">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Antalya</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563.170</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aynı tablo</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obctgotxkqvnphicmjuz7">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İzmir</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549.833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aynı tablo</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4j7bprd69nidjq9jlbvo8">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il toplamı</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2.084.483 (Türkiye parkının %27,4'ü)</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[K1] il değerlerinin toplamı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 sonu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2021 yıl sonu</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3.744.370</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tablo "Yıllara göre motorlu kara taşıtları sayısı"; [K3] TÜİK, "Motorlu Kara Taşıtları, Aralık 2021" (toplam taşıt 25.249.119; motosiklet payı %14,8)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2021 yıl sonu; [K3] yayım 26.01.2022</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jcd0awh-jxg3fbyq5czsm">
              <w:r>
                <w:rPr>
                  <w:rFonts w:ascii="Arial" w:cs="Arial" w:eastAsia="Arial" w:hAnsi="Arial"/>
                  <w:color w:val="1F4E79"/>
                  <w:sz w:val="17"/>
                  <w:szCs w:val="17"/>
                </w:rPr>
                <w:t xml:space="preserve">https://veriportali.tuik.gov.tr/tr/press/58052</w:t>
              </w:r>
            </w:hyperlink>
          </w:p>
          <w:p>
            <w:pPr>
              <w:spacing w:after="30"/>
            </w:pPr>
            <w:hyperlink w:history="1" r:id="rIdkpmzhcoojs2juyn8-vscq">
              <w:r>
                <w:rPr>
                  <w:rFonts w:ascii="Arial" w:cs="Arial" w:eastAsia="Arial" w:hAnsi="Arial"/>
                  <w:color w:val="1F4E79"/>
                  <w:sz w:val="17"/>
                  <w:szCs w:val="17"/>
                </w:rPr>
                <w:t xml:space="preserve">https://veriportali.tuik.gov.tr/tr/press/45703</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motosiklet, 2025 yıl sonu</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7.109.964</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tablo "Yıllara göre motorlu kara taşıtları sayısı"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yıl sonu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ehjv39g0znho78-vvtfpc">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(bağlam)</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Trafiğe kaydı yapılan motosiklet, 2024</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1.206.587</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 TÜİK, "Motorlu Kara Taşıtları, Aralık 2025"; tablo "Ay ve yıllara göre kaydı yapılan ve kaydı silinen motorlu kara taşıtları sayısı"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2024; yayım 16.01.2026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daxg_cwqbktuswq1_mpds">
              <w:r>
                <w:rPr>
                  <w:rFonts w:ascii="Arial" w:cs="Arial" w:eastAsia="Arial" w:hAnsi="Arial"/>
                  <w:color w:val="1F4E79"/>
                  <w:sz w:val="17"/>
                  <w:szCs w:val="17"/>
                </w:rPr>
                <w:t xml:space="preserve">https://veriportali.tuik.gov.tr/tr/press/54047</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Trafiğe kaydı yapılan motosiklet, 2025</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885.261</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 aynı tablo</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yayım 16.01.2026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ip3t5u5fvdfp-4huusrex">
              <w:r>
                <w:rPr>
                  <w:rFonts w:ascii="Arial" w:cs="Arial" w:eastAsia="Arial" w:hAnsi="Arial"/>
                  <w:color w:val="1F4E79"/>
                  <w:sz w:val="17"/>
                  <w:szCs w:val="17"/>
                </w:rPr>
                <w:t xml:space="preserve">https://veriportali.tuik.gov.tr/tr/press/54047</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Trafiğe kaydı yapılan motosiklet, Ocak–Ağustos</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526.611 (2026); 621.477 (2025)</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tablo "Ay ve yıllara göre kaydı yapılan ve kaydı silinen motorlu kara taşıtları sayısı"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Ocak–Ağustos 2025 ve 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bhulgbf7simjbtgcwo4n">
              <w:r>
                <w:rPr>
                  <w:rFonts w:ascii="Arial" w:cs="Arial" w:eastAsia="Arial" w:hAnsi="Arial"/>
                  <w:color w:val="1F4E79"/>
                  <w:sz w:val="17"/>
                  <w:szCs w:val="17"/>
                </w:rPr>
                <w:t xml:space="preserve">https://veriportali.tuik.gov.tr/tr/press/58052</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(bağlam)</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Basın aktarımı (karşılaştırma)</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Türkiye 7.608.433; İstanbul 971.480; Antalya 563.170; İzmir 549.833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 Anadolu Ajansı (AA), TÜİK verisinin aktarımı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17.09.2026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xw91kg9-abohcpir69-eq">
              <w:r>
                <w:rPr>
                  <w:rFonts w:ascii="Arial" w:cs="Arial" w:eastAsia="Arial" w:hAnsi="Arial"/>
                  <w:color w:val="1F4E79"/>
                  <w:sz w:val="17"/>
                  <w:szCs w:val="17"/>
                </w:rPr>
                <w:t xml:space="preserve">https://www.aa.com.tr/tr/ekonomi/motosiklet-sayisinin-otomobil-sayisini-gectigi-il-sayisi-7-oldu/4059761</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1.1, 1.2</w:t>
            </w:r>
          </w:p>
        </w:tc>
      </w:tr>
    </w:tbl>
    <w:p>
      <w:pPr>
        <w:spacing w:after="60"/>
      </w:pPr>
    </w:p>
    <w:p>
      <w:pPr>
        <w:spacing w:after="100" w:before="40"/>
      </w:pPr>
      <w:r>
        <w:rPr>
          <w:rFonts w:ascii="Arial" w:cs="Arial" w:eastAsia="Arial" w:hAnsi="Arial"/>
          <w:i/>
          <w:iCs/>
          <w:color w:val="595959"/>
          <w:sz w:val="16"/>
          <w:szCs w:val="16"/>
        </w:rPr>
        <w:t xml:space="preserve">Not: TÜİK tablolarında "Motosiklet" sınıfı motorlu bisikletleri de kapsamaktadır (tablo dipnotu 2). İl değerleri taşıtın kayıtlı olduğu ile göredir; aktif sürücü sayısını ya da kullanım yerini göstermez. İş Planı 1.2 aynı sınırlılığı belirtmektedir.</w:t>
      </w:r>
    </w:p>
    <w:p>
      <w:pPr>
        <w:pStyle w:val="Heading2"/>
        <w:keepNext/>
        <w:spacing w:after="80" w:before="180"/>
      </w:pPr>
      <w:r>
        <w:rPr>
          <w:rFonts w:ascii="Arial" w:cs="Arial" w:eastAsia="Arial" w:hAnsi="Arial"/>
          <w:b/>
          <w:bCs/>
          <w:i w:val="false"/>
          <w:iCs w:val="false"/>
          <w:color w:val="000000"/>
          <w:sz w:val="21"/>
          <w:szCs w:val="21"/>
        </w:rPr>
        <w:t xml:space="preserve">F.3.2 Kurye taşıtları ve çok taşıtlı işletme hesabı</w:t>
      </w:r>
    </w:p>
    <w:p>
      <w:pPr>
        <w:keepNext/>
        <w:spacing w:after="60" w:before="140"/>
      </w:pPr>
      <w:r>
        <w:rPr>
          <w:rFonts w:ascii="Arial" w:cs="Arial" w:eastAsia="Arial" w:hAnsi="Arial"/>
          <w:b/>
          <w:bCs/>
          <w:sz w:val="18"/>
          <w:szCs w:val="18"/>
        </w:rPr>
        <w:t xml:space="preserve">Tablo F-2. Kurye yetki belgesi, kurye taşıtı ve çok taşıtlı işletme hesabı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3264"/>
        <w:gridCol w:w="2967"/>
        <w:gridCol w:w="1632"/>
        <w:gridCol w:w="2522"/>
        <w:gridCol w:w="1038"/>
        <w:gridCol w:w="1041"/>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63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ve yayım tarihi</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0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işletmecisine düzenlenen yetki belgesi</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103.493</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 UAB, "SRC-Kurye Belgesi İçin Süre Uzatılıyor" (Bakan açıklaması)</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Yönetmeliğin yürürlüğünden bu yana; yayım 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fo1glq8syctm2r9dvs_hf">
              <w:r>
                <w:rPr>
                  <w:rFonts w:ascii="Arial" w:cs="Arial" w:eastAsia="Arial" w:hAnsi="Arial"/>
                  <w:color w:val="1F4E79"/>
                  <w:sz w:val="17"/>
                  <w:szCs w:val="17"/>
                </w:rPr>
                <w:t xml:space="preserve">https://www.uab.gov.tr/haberler/src-kurye-belgesi-icin-suere-uzatiliyor/</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Yetki belgelerine kayıtlı taşıt</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106.077 (91.777 motosiklet; 5.710 motorlu bisiklet; 8.325 kamyonet; 265 otomobil)</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taşıtla faaliyet gösteren motokurye</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100.876</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P1 ve P2 yetki belgesi koşulları</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P1: il içi ya da komşu ilçeler arası faaliyet; en az 5 özmal motorlu taşıt ve 100.000 TL sermaye. P2: bir ya da birden fazla ilde faaliyet; en az 30 özmal motorlu taşıt ve 500.000 TL sermaye. En fazla 3 taşıtla yapılan P1 başvurusunda asgari kapasite ve sermaye şartı aranmaz. P1 ve P2 sahipleri gönderiyi taşıma süresi taahhüdünde bulunmadan teslim eder</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 Resmî Gazete, "Karayolu Taşıma Yönetmeliğinde Değişiklik Yapılmasına Dair Yönetmelik", sayı 32901</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15.05.2025</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ktflbtgsehgfbxo9uxa_e">
              <w:r>
                <w:rPr>
                  <w:rFonts w:ascii="Arial" w:cs="Arial" w:eastAsia="Arial" w:hAnsi="Arial"/>
                  <w:color w:val="1F4E79"/>
                  <w:sz w:val="17"/>
                  <w:szCs w:val="17"/>
                </w:rPr>
                <w:t xml:space="preserve">https://www.resmigazete.gov.tr/eskiler/2025/05/20250515-1.htm</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taşıtlı motokurye dışındaki taşıt</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5.201 (planda yaklaşık 5.200)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106.077 − 100.876</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taşıtlı motokurye dışındaki belge</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2.617</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103.493 − 100.876</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Belge başına taşıt (tutarlılık sınaması)</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1,99</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5.201 ÷ 2.617</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bl>
    <w:p>
      <w:pPr>
        <w:spacing w:after="60"/>
      </w:pPr>
    </w:p>
    <w:p>
      <w:pPr>
        <w:spacing w:after="100" w:before="40"/>
      </w:pPr>
      <w:r>
        <w:rPr>
          <w:rFonts w:ascii="Arial" w:cs="Arial" w:eastAsia="Arial" w:hAnsi="Arial"/>
          <w:i/>
          <w:iCs/>
          <w:color w:val="595959"/>
          <w:sz w:val="16"/>
          <w:szCs w:val="16"/>
        </w:rPr>
        <w:t xml:space="preserve">Not: UAB açıklaması çok taşıtlı işletme sayısını, bu işletmelerdeki taşıt sayısını ya da P1/P2 kırılımını vermemektedir. İş Planı 1.4'teki "yaklaşık 5.200" değeri, 100.876 sayısının her biri tek taşıtla kayıtlı belge sahiplerini gösterdiği varsayımıyla türetilmiştir; aynı hesap v15 pazar araştırmasında ve lojistik uzman raporunda aynı çekinceyle yer almaktadır [K14]. Türetilen değer iki tutarlılık sınamasında sorun göstermektedir. Kalan 2.617 belgeye ortalama 1,99 taşıt düşmekte ve bu değer "çok taşıtlı" tanımının gerektirdiği en az 2 taşıtın altında kalmaktadır. Tek taşıtlı motokurye sayısı (100.876), motosiklet ve motorlu bisiklet toplamını (97.487) aştığından tek taşıtlı grubun bir kısmı kamyonet ya da otomobil kaydına sahiptir. Yaklaşık 5.200 değeri bu nedenle büyüklük göstergesi olarak kullanılmalıdır; kesin değer için UAB'den il, belge türü (P1/P2) ve taşıt sayısı bandına göre toplu istatistik istenmesi gerekmektedir.</w:t>
      </w:r>
    </w:p>
    <w:p>
      <w:pPr>
        <w:spacing w:after="100" w:before="40"/>
      </w:pPr>
      <w:r>
        <w:rPr>
          <w:rFonts w:ascii="Arial" w:cs="Arial" w:eastAsia="Arial" w:hAnsi="Arial"/>
          <w:i/>
          <w:iCs/>
          <w:color w:val="595959"/>
          <w:sz w:val="16"/>
          <w:szCs w:val="16"/>
        </w:rPr>
        <w:t xml:space="preserve">Not: Yönetmelik, en fazla 3 taşıtla yapılan P1 başvurularında kapasite ve sermaye şartı aramadığından tek taşıtla çalışan motokuryeler de P1 belgesiyle faaliyet gösterebilmektedir. İş Planı 1.2'deki "P1/P2 yetki belgeli çok taşıtlı kurye işletmeleri" ifadesi, belge sahipleri içinde birden fazla taşıt kaydı olan işletmeleri anlatmaktadır.</w:t>
      </w:r>
    </w:p>
    <w:p>
      <w:pPr>
        <w:pStyle w:val="Heading2"/>
        <w:keepNext/>
        <w:spacing w:after="80" w:before="180"/>
      </w:pPr>
      <w:r>
        <w:rPr>
          <w:rFonts w:ascii="Arial" w:cs="Arial" w:eastAsia="Arial" w:hAnsi="Arial"/>
          <w:b/>
          <w:bCs/>
          <w:i w:val="false"/>
          <w:iCs w:val="false"/>
          <w:color w:val="000000"/>
          <w:sz w:val="21"/>
          <w:szCs w:val="21"/>
        </w:rPr>
        <w:t xml:space="preserve">F.3.3 Uluslararası referans pazar</w:t>
      </w:r>
    </w:p>
    <w:p>
      <w:pPr>
        <w:keepNext/>
        <w:spacing w:after="60" w:before="140"/>
      </w:pPr>
      <w:r>
        <w:rPr>
          <w:rFonts w:ascii="Arial" w:cs="Arial" w:eastAsia="Arial" w:hAnsi="Arial"/>
          <w:b/>
          <w:bCs/>
          <w:sz w:val="18"/>
          <w:szCs w:val="18"/>
        </w:rPr>
        <w:t xml:space="preserve">Tablo F-3. İtalya ve İspanya motosiklet parkı (Eurostat)</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2522"/>
        <w:gridCol w:w="3264"/>
        <w:gridCol w:w="1780"/>
        <w:gridCol w:w="2819"/>
        <w:gridCol w:w="1038"/>
        <w:gridCol w:w="1041"/>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ve yayım tarihi</w:t>
            </w:r>
          </w:p>
        </w:tc>
        <w:tc>
          <w:tcPr>
            <w:tcW w:type="dxa" w:w="281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0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parkı, İtalya</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7.919.374</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 Eurostat, "Motorcycles by engine size" (road_eqs_motorc), sınıf "Total"</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veri seti güncellemesi 30.07.2026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lsoz3rwvyuvbkkig1r4bi">
              <w:r>
                <w:rPr>
                  <w:rFonts w:ascii="Arial" w:cs="Arial" w:eastAsia="Arial" w:hAnsi="Arial"/>
                  <w:color w:val="1F4E79"/>
                  <w:sz w:val="17"/>
                  <w:szCs w:val="17"/>
                </w:rPr>
                <w:t xml:space="preserve">https://ec.europa.eu/eurostat/databrowser/view/road_eqs_motorc/default/table?lang=en</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parkı, İspanya</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4.560.962</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 aynı veri seti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ülke toplamı</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12.480.336 (yaklaşık 12,48 milyon)</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7.919.374 + 4.560.962</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ülke toplamı, önceki yıl</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12.112.280 (İtalya 7.721.022; İspanya 4.391.258)</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2024</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(bağlam)</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Moped parkı, İspanya</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1.515.180</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 Eurostat, "Mopeds and motorcycles by type of motor energy" (road_eqs_mopeds)</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veri seti güncellemesi 30.07.2026</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efsn_mhmissyovqhgx5b8">
              <w:r>
                <w:rPr>
                  <w:rFonts w:ascii="Arial" w:cs="Arial" w:eastAsia="Arial" w:hAnsi="Arial"/>
                  <w:color w:val="1F4E79"/>
                  <w:sz w:val="17"/>
                  <w:szCs w:val="17"/>
                </w:rPr>
                <w:t xml:space="preserve">https://ec.europa.eu/eurostat/databrowser/view/road_eqs_mopeds/default/table?lang=en</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(bağlam)</w:t>
            </w:r>
          </w:p>
        </w:tc>
      </w:tr>
    </w:tbl>
    <w:p>
      <w:pPr>
        <w:spacing w:after="60"/>
      </w:pPr>
    </w:p>
    <w:p>
      <w:pPr>
        <w:spacing w:after="100" w:before="40"/>
      </w:pPr>
      <w:r>
        <w:rPr>
          <w:rFonts w:ascii="Arial" w:cs="Arial" w:eastAsia="Arial" w:hAnsi="Arial"/>
          <w:i/>
          <w:iCs/>
          <w:color w:val="595959"/>
          <w:sz w:val="16"/>
          <w:szCs w:val="16"/>
        </w:rPr>
        <w:t xml:space="preserve">Not: Eurostat motosiklet ve moped sınıflarını ayrı raporlamaktadır; 12,48 milyon değeri mopedleri kapsamamaktadır. İtalya için 2025 moped değeri aynı veri setinde yer almamaktadır. TÜİK'in motosiklet sınıfı motorlu bisikletleri de kapsadığından Türkiye ile iki ülke arasındaki karşılaştırma tanım farkı taşımaktadır; bu fark, iki ülkenin referans değerini Türkiye tanımına göre düşük gösteren yöndedir. İş Planı 1.4'te değerin yılı belirtilmemiştir; kaynağa uygun ifade "2025 yıl sonu, Eurostat" biçimindedir. Değerlerin alındığı sorgu: </w:t>
      </w:r>
      <w:hyperlink w:history="1" r:id="rIdrtdejokl4lra5aehm05lk">
        <w:r>
          <w:rPr>
            <w:rFonts w:ascii="Arial" w:cs="Arial" w:eastAsia="Arial" w:hAnsi="Arial"/>
            <w:color w:val="1F4E79"/>
            <w:sz w:val="16"/>
            <w:szCs w:val="16"/>
          </w:rPr>
          <w:t xml:space="preserve">https://ec.europa.eu/eurostat/api/dissemination/statistics/1.0/data/road_eqs_motorc?format=JSON&amp;lang=EN&amp;geo=IT&amp;geo=ES</w:t>
        </w:r>
      </w:hyperlink>
    </w:p>
    <w:p>
      <w:pPr>
        <w:pStyle w:val="Heading2"/>
        <w:keepNext/>
        <w:spacing w:after="80" w:before="180"/>
      </w:pPr>
      <w:r>
        <w:rPr>
          <w:rFonts w:ascii="Arial" w:cs="Arial" w:eastAsia="Arial" w:hAnsi="Arial"/>
          <w:b/>
          <w:bCs/>
          <w:i w:val="false"/>
          <w:iCs w:val="false"/>
          <w:color w:val="000000"/>
          <w:sz w:val="21"/>
          <w:szCs w:val="21"/>
        </w:rPr>
        <w:t xml:space="preserve">F.3.4 Trafik sıkışıklığı ve yol güvenliği</w:t>
      </w:r>
    </w:p>
    <w:p>
      <w:pPr>
        <w:keepNext/>
        <w:spacing w:after="60" w:before="140"/>
      </w:pPr>
      <w:r>
        <w:rPr>
          <w:rFonts w:ascii="Arial" w:cs="Arial" w:eastAsia="Arial" w:hAnsi="Arial"/>
          <w:b/>
          <w:bCs/>
          <w:sz w:val="18"/>
          <w:szCs w:val="18"/>
        </w:rPr>
        <w:t xml:space="preserve">Tablo F-4. Trafik sıkışıklığı, trafik kazası ölümleri ve motokurye ölümleri</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2819"/>
        <w:gridCol w:w="3115"/>
        <w:gridCol w:w="1632"/>
        <w:gridCol w:w="2670"/>
        <w:gridCol w:w="1038"/>
        <w:gridCol w:w="1042"/>
      </w:tblGrid>
      <w:tr>
        <w:trPr>
          <w:cantSplit/>
          <w:tblHeader/>
        </w:trPr>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Rakam</w:t>
            </w:r>
          </w:p>
        </w:tc>
        <w:tc>
          <w:tcPr>
            <w:tcW w:type="dxa" w:w="281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31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63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ve yayım tarihi</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URL</w:t>
            </w:r>
          </w:p>
        </w:tc>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Erişim</w:t>
            </w:r>
          </w:p>
        </w:tc>
        <w:tc>
          <w:tcPr>
            <w:tcW w:type="dxa" w:w="104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İstanbul'un küresel sıkışıklık sıralaması</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Birinci sıra; sürücü başına yılda 118 saat kayıp (önceki yıla göre %12 artış); değerlendirme 900'den fazla kenti kapsamaktadır</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 INRIX (B. Pishue), "Congestion Up, Fatalities Down: What the 2025 INRIX Global Traffic Scorecard Reveals"</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yayım 15.12.2025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reyetvjoeqcjorhtie0f9">
              <w:r>
                <w:rPr>
                  <w:rFonts w:ascii="Arial" w:cs="Arial" w:eastAsia="Arial" w:hAnsi="Arial"/>
                  <w:color w:val="1F4E79"/>
                  <w:sz w:val="17"/>
                  <w:szCs w:val="17"/>
                </w:rPr>
                <w:t xml:space="preserve">https://inrix.com/blog/congestion-up-fatalities-down-what-the-2025-inrix-global-traffic-scorecard-reveals/</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kazalarında ölen kişi</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6.035 (kaza yerinde 2.541; sağlık kuruluşuna sevk edildikten sonra 30 gün içinde 3.494)</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 TÜİK, "Karayolu Trafik Kaza İstatistikleri, 2025" (düzeltilmiş bülten)</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yayım 06.05.2026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tdnjaf9fuibn0ib3cs97t">
              <w:r>
                <w:rPr>
                  <w:rFonts w:ascii="Arial" w:cs="Arial" w:eastAsia="Arial" w:hAnsi="Arial"/>
                  <w:color w:val="1F4E79"/>
                  <w:sz w:val="17"/>
                  <w:szCs w:val="17"/>
                </w:rPr>
                <w:t xml:space="preserve">https://veriportali.tuik.gov.tr/tr/press/58133</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Ölen motosiklet sürücüsü</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1.334 (toplam ölümlerin %22,1'i)</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Ölen motosiklet yolcusu</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191</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(bağlam)</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Yaralanan motosiklet sürücüsü</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130.578 (toplam yaralıların %32,3'ü)</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(bağlam)</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İncinebilir yol kullanıcısı ölümleri</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2.680 (toplam ölümlerin %44,4'ü; yaya, motosiklet, bisiklet ve elektrikli skuter sürücüleri)</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bağlantı</w:t>
            </w:r>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(bağlam)</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Çalışırken hayatını kaybeden motokurye</w:t>
            </w:r>
          </w:p>
        </w:tc>
        <w:tc>
          <w:tcPr>
            <w:tcW w:type="dxa" w:w="281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44 (bir önceki yıl en az 63)</w:t>
            </w:r>
          </w:p>
        </w:tc>
        <w:tc>
          <w:tcPr>
            <w:tcW w:type="dxa" w:w="3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 Kurye Hakları Derneği, "Moto Kurye Ölümleri Raporu 2025"</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yayım 13.01.2026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hyperlink w:history="1" r:id="rIdihisyygiqz6i_cz8xjoiu">
              <w:r>
                <w:rPr>
                  <w:rFonts w:ascii="Arial" w:cs="Arial" w:eastAsia="Arial" w:hAnsi="Arial"/>
                  <w:color w:val="1F4E79"/>
                  <w:sz w:val="17"/>
                  <w:szCs w:val="17"/>
                </w:rPr>
                <w:t xml:space="preserve">https://kuryehaklari.org/moto-kurye-olumleri-raporu-2025/</w:t>
              </w:r>
            </w:hyperlink>
          </w:p>
        </w:tc>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30.09.2026</w:t>
            </w:r>
          </w:p>
        </w:tc>
        <w:tc>
          <w:tcPr>
            <w:tcW w:type="dxa" w:w="10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w:t>
            </w:r>
          </w:p>
        </w:tc>
      </w:tr>
    </w:tbl>
    <w:p>
      <w:pPr>
        <w:spacing w:after="60"/>
      </w:pPr>
    </w:p>
    <w:p>
      <w:pPr>
        <w:spacing w:after="100" w:before="40"/>
      </w:pPr>
      <w:r>
        <w:rPr>
          <w:rFonts w:ascii="Arial" w:cs="Arial" w:eastAsia="Arial" w:hAnsi="Arial"/>
          <w:i/>
          <w:iCs/>
          <w:color w:val="595959"/>
          <w:sz w:val="16"/>
          <w:szCs w:val="16"/>
        </w:rPr>
        <w:t xml:space="preserve">Not: TÜİK ölü sayısı, kaza yerinde ölenler ile yaralanıp sağlık kuruluşlarına sevk edildikten sonra kazanın sebep ve tesiriyle 30 gün içinde ölenleri kapsamaktadır [K4]. Motokurye ölüm sayısı resmî istatistik değildir. Dernek, Türkiye'de kurye ölümlerini kayıt altına alan resmî bir istatistik bulunmadığını, vakaların sendika, dernek, avukat ve basın takibiyle derlendiğini ve sayının bu nedenle "en az" ibaresiyle verildiğini raporunda belirtmektedir [K11]. INRIX göstergesi genel trafik gecikmesini ölçmektedir; motosiklet sürücülerine özgü bir ölçüm değildir.</w:t>
      </w:r>
    </w:p>
    <w:p>
      <w:pPr>
        <w:pStyle w:val="Heading2"/>
        <w:keepNext/>
        <w:spacing w:after="80" w:before="180"/>
      </w:pPr>
      <w:r>
        <w:rPr>
          <w:rFonts w:ascii="Arial" w:cs="Arial" w:eastAsia="Arial" w:hAnsi="Arial"/>
          <w:b/>
          <w:bCs/>
          <w:i w:val="false"/>
          <w:iCs w:val="false"/>
          <w:color w:val="000000"/>
          <w:sz w:val="21"/>
          <w:szCs w:val="21"/>
        </w:rPr>
        <w:t xml:space="preserve">F.3.5 Google Trends mevsimsellik çıktısı</w:t>
      </w:r>
    </w:p>
    <w:p>
      <w:pPr>
        <w:keepNext/>
        <w:spacing w:after="60" w:before="140"/>
      </w:pPr>
      <w:r>
        <w:rPr>
          <w:rFonts w:ascii="Arial" w:cs="Arial" w:eastAsia="Arial" w:hAnsi="Arial"/>
          <w:b/>
          <w:bCs/>
          <w:sz w:val="18"/>
          <w:szCs w:val="18"/>
        </w:rPr>
        <w:t xml:space="preserve">Tablo F-5. Google Trends mevsim endeksi, Türkiye, Ocak 2016–Ağustos 2026</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4154"/>
        <w:gridCol w:w="4154"/>
        <w:gridCol w:w="4156"/>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w:t>
            </w:r>
          </w:p>
        </w:tc>
        <w:tc>
          <w:tcPr>
            <w:tcW w:type="dxa" w:w="41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"motosiklet"</w:t>
            </w:r>
          </w:p>
        </w:tc>
        <w:tc>
          <w:tcPr>
            <w:tcW w:type="dxa" w:w="41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"motor kask"</w:t>
            </w:r>
          </w:p>
        </w:tc>
        <w:tc>
          <w:tcPr>
            <w:tcW w:type="dxa" w:w="41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 kurye"</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0,684</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0,646</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0,989</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0,860</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0,812</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1,080</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0,997</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0,967</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0,998</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Nisan</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1,058</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1,261</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1,007</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Mayıs</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1,132</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1,148</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1,027</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1,233</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1,221</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1,033</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1,251</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1,195</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1,045</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1,187</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1,154</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1,015</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1,113</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1,154</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1,017</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Ekim</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0,955</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0,975</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0,946</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Kasım</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0,829</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0,845</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0,930</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0,702</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0,620</w:t>
            </w:r>
          </w:p>
        </w:tc>
        <w:tc>
          <w:tcPr>
            <w:tcW w:type="dxa" w:w="41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0,914</w:t>
            </w:r>
          </w:p>
        </w:tc>
      </w:tr>
    </w:tbl>
    <w:p>
      <w:pPr>
        <w:spacing w:after="60"/>
      </w:pPr>
    </w:p>
    <w:p>
      <w:pPr>
        <w:spacing w:after="100" w:before="40"/>
      </w:pPr>
      <w:r>
        <w:rPr>
          <w:rFonts w:ascii="Arial" w:cs="Arial" w:eastAsia="Arial" w:hAnsi="Arial"/>
          <w:i/>
          <w:iCs/>
          <w:color w:val="595959"/>
          <w:sz w:val="16"/>
          <w:szCs w:val="16"/>
        </w:rPr>
        <w:t xml:space="preserve">Not: Endeks değeri 1, mevsim etkisinden arındırılmış eğilim düzeyini gösterir. İş Planı 1.7'deki "ocak ilgisi yıllık ortalamanın yaklaşık %68'ine inerken temmuzda %125'e çıkmaktadır" ifadesi "motosiklet" sütunundaki 0,684 ve 1,251 değerlerine karşılık gelmektedir. "Moto kurye" aramasının endeksi 0,914–1,080 aralığında kalmaktadır. Kaynak: [K12] (veri) ve [K13] (hesap kodu ve çıktı dosyası).</w:t>
      </w:r>
    </w:p>
    <w:p>
      <w:pPr>
        <w:pStyle w:val="Heading3"/>
        <w:keepNext/>
        <w:spacing w:after="60" w:before="140"/>
      </w:pPr>
      <w:r>
        <w:rPr>
          <w:rFonts w:ascii="Arial" w:cs="Arial" w:eastAsia="Arial" w:hAnsi="Arial"/>
          <w:b/>
          <w:bCs/>
          <w:i/>
          <w:iCs/>
          <w:color w:val="000000"/>
          <w:sz w:val="19"/>
          <w:szCs w:val="19"/>
        </w:rPr>
        <w:t xml:space="preserve">Google Trends yöntem notu</w:t>
      </w:r>
    </w:p>
    <w:p>
      <w:pPr>
        <w:pStyle w:val="ListParagraph"/>
        <w:numPr>
          <w:ilvl w:val="0"/>
          <w:numId w:val="2"/>
        </w:numPr>
        <w:spacing w:after="50"/>
      </w:pPr>
      <w:r>
        <w:rPr>
          <w:rFonts w:ascii="Arial" w:cs="Arial" w:eastAsia="Arial" w:hAnsi="Arial"/>
          <w:b/>
          <w:bCs/>
          <w:sz w:val="18"/>
          <w:szCs w:val="18"/>
        </w:rPr>
        <w:t xml:space="preserve">Sorgular.</w:t>
      </w:r>
      <w:r>
        <w:rPr>
          <w:rFonts w:ascii="Arial" w:cs="Arial" w:eastAsia="Arial" w:hAnsi="Arial"/>
          <w:sz w:val="18"/>
          <w:szCs w:val="18"/>
        </w:rPr>
        <w:t xml:space="preserve"> "motosiklet", "motor kask" ve "moto kurye". Her sorgu ayrı indirilmiştir. Her seri kendi dönemindeki en yüksek değere göre 0–100 arasında ölçeklendiğinden seriler arasında düzey karşılaştırması yapılmamaktadır.</w:t>
      </w:r>
    </w:p>
    <w:p>
      <w:pPr>
        <w:pStyle w:val="ListParagraph"/>
        <w:numPr>
          <w:ilvl w:val="0"/>
          <w:numId w:val="2"/>
        </w:numPr>
        <w:spacing w:after="50"/>
      </w:pPr>
      <w:r>
        <w:rPr>
          <w:rFonts w:ascii="Arial" w:cs="Arial" w:eastAsia="Arial" w:hAnsi="Arial"/>
          <w:b/>
          <w:bCs/>
          <w:sz w:val="18"/>
          <w:szCs w:val="18"/>
        </w:rPr>
        <w:t xml:space="preserve">Coğrafya ve dönem.</w:t>
      </w:r>
      <w:r>
        <w:rPr>
          <w:rFonts w:ascii="Arial" w:cs="Arial" w:eastAsia="Arial" w:hAnsi="Arial"/>
          <w:sz w:val="18"/>
          <w:szCs w:val="18"/>
        </w:rPr>
        <w:t xml:space="preserve"> Türkiye (geo=TR); aylık seri, Ocak 2016–Ağustos 2026 (128 ay). İndirme tarihi 23.09.2026'dır; dosyalarda kısmi veri olarak işaretlenmiş gözlem bulunmamaktadır.</w:t>
      </w:r>
    </w:p>
    <w:p>
      <w:pPr>
        <w:pStyle w:val="ListParagraph"/>
        <w:numPr>
          <w:ilvl w:val="0"/>
          <w:numId w:val="2"/>
        </w:numPr>
        <w:spacing w:after="50"/>
      </w:pPr>
      <w:r>
        <w:rPr>
          <w:rFonts w:ascii="Arial" w:cs="Arial" w:eastAsia="Arial" w:hAnsi="Arial"/>
          <w:b/>
          <w:bCs/>
          <w:sz w:val="18"/>
          <w:szCs w:val="18"/>
        </w:rPr>
        <w:t xml:space="preserve">Endeksin hesabı.</w:t>
      </w:r>
      <w:r>
        <w:rPr>
          <w:rFonts w:ascii="Arial" w:cs="Arial" w:eastAsia="Arial" w:hAnsi="Arial"/>
          <w:sz w:val="18"/>
          <w:szCs w:val="18"/>
        </w:rPr>
        <w:t xml:space="preserve"> Seriye 2×12 merkezli hareketli ortalama uygulanmıştır (ağırlıklar 0,5, on bir adet 1 ve 0,5; toplam 12'ye bölünür). Her ay için gözlem hareketli ortalamaya bölünmüştür; ilk ve son altı ayda oran hesaplanamadığından oranlar Temmuz 2016–Şubat 2026 dönemini (116 ay) kapsamaktadır. Her takvim ayı için oranların medyanı alınmış (ay başına 9–10 oran), on iki medyan ortalamaları 1 olacak biçimde ölçeklenmiştir.</w:t>
      </w:r>
    </w:p>
    <w:p>
      <w:pPr>
        <w:pStyle w:val="ListParagraph"/>
        <w:numPr>
          <w:ilvl w:val="0"/>
          <w:numId w:val="2"/>
        </w:numPr>
        <w:spacing w:after="50"/>
      </w:pPr>
      <w:r>
        <w:rPr>
          <w:rFonts w:ascii="Arial" w:cs="Arial" w:eastAsia="Arial" w:hAnsi="Arial"/>
          <w:b/>
          <w:bCs/>
          <w:sz w:val="18"/>
          <w:szCs w:val="18"/>
        </w:rPr>
        <w:t xml:space="preserve">Belirsizlik.</w:t>
      </w:r>
      <w:r>
        <w:rPr>
          <w:rFonts w:ascii="Arial" w:cs="Arial" w:eastAsia="Arial" w:hAnsi="Arial"/>
          <w:sz w:val="18"/>
          <w:szCs w:val="18"/>
        </w:rPr>
        <w:t xml:space="preserve"> Yıllar blok olarak yeniden örneklenmiştir (önyükleme; 2.000 çekiliş, tohum 20260923). "Motosiklet" endeksinin genliğine ilişkin standart sapma 0,0745'tir. Fizibilite modeli mevsim genliğini ortalaması 1, standart sapması 0,075 olan kesik normal dağılımla taşımaktadır.</w:t>
      </w:r>
    </w:p>
    <w:p>
      <w:pPr>
        <w:pStyle w:val="ListParagraph"/>
        <w:numPr>
          <w:ilvl w:val="0"/>
          <w:numId w:val="2"/>
        </w:numPr>
        <w:spacing w:after="50"/>
      </w:pPr>
      <w:r>
        <w:rPr>
          <w:rFonts w:ascii="Arial" w:cs="Arial" w:eastAsia="Arial" w:hAnsi="Arial"/>
          <w:b/>
          <w:bCs/>
          <w:sz w:val="18"/>
          <w:szCs w:val="18"/>
        </w:rPr>
        <w:t xml:space="preserve">Denetim.</w:t>
      </w:r>
      <w:r>
        <w:rPr>
          <w:rFonts w:ascii="Arial" w:cs="Arial" w:eastAsia="Arial" w:hAnsi="Arial"/>
          <w:sz w:val="18"/>
          <w:szCs w:val="18"/>
        </w:rPr>
        <w:t xml:space="preserve"> Bu ek için hesap aynı veri dosyalarıyla yeniden çalıştırılmış, Tablo F-5'teki değerler mevsimsellik.json dosyasındaki değerlerle aynı bulunmuştur.</w:t>
      </w:r>
    </w:p>
    <w:p>
      <w:pPr>
        <w:pStyle w:val="ListParagraph"/>
        <w:numPr>
          <w:ilvl w:val="0"/>
          <w:numId w:val="2"/>
        </w:numPr>
        <w:spacing w:after="50"/>
      </w:pPr>
      <w:r>
        <w:rPr>
          <w:rFonts w:ascii="Arial" w:cs="Arial" w:eastAsia="Arial" w:hAnsi="Arial"/>
          <w:b/>
          <w:bCs/>
          <w:sz w:val="18"/>
          <w:szCs w:val="18"/>
        </w:rPr>
        <w:t xml:space="preserve">İlgi düzeyi (türetilmiş).</w:t>
      </w:r>
      <w:r>
        <w:rPr>
          <w:rFonts w:ascii="Arial" w:cs="Arial" w:eastAsia="Arial" w:hAnsi="Arial"/>
          <w:sz w:val="18"/>
          <w:szCs w:val="18"/>
        </w:rPr>
        <w:t xml:space="preserve"> Aynı "motosiklet" serisinin Ocak–Ağustos ortalaması 2025'te 83,9, 2026'da 69,9'dur (%16,7 düşüş). Karşılaştırma aynı indirme içindedir ve mevsim endeksini etkilemez; yeni tescil sayısındaki gerilemeyle (Tablo F-1) aynı yöndedir.</w:t>
      </w:r>
    </w:p>
    <w:p>
      <w:pPr>
        <w:pStyle w:val="ListParagraph"/>
        <w:numPr>
          <w:ilvl w:val="0"/>
          <w:numId w:val="2"/>
        </w:numPr>
        <w:spacing w:after="50"/>
      </w:pPr>
      <w:r>
        <w:rPr>
          <w:rFonts w:ascii="Arial" w:cs="Arial" w:eastAsia="Arial" w:hAnsi="Arial"/>
          <w:b/>
          <w:bCs/>
          <w:sz w:val="18"/>
          <w:szCs w:val="18"/>
        </w:rPr>
        <w:t xml:space="preserve">Dosyalar.</w:t>
      </w:r>
      <w:r>
        <w:rPr>
          <w:rFonts w:ascii="Arial" w:cs="Arial" w:eastAsia="Arial" w:hAnsi="Arial"/>
          <w:sz w:val="18"/>
          <w:szCs w:val="18"/>
        </w:rPr>
        <w:t xml:space="preserve"> Veri: fizibilite-ek6-v3\ek6_v3\ek6_v3\data\gtrends_motosiklet.json, gtrends_motor_kask.json, gtrends_moto_kurye.json. Hesap: fizibilite-ek6-v3\ek6_v3\ek6_v3\seasonality.py. Çıktı: fizibilite-ek6-v3\results\mevsimsellik.json ve fizibilite-ek6-v3\charts\mevsimsellik.png (v15 klasörü, [K13]).</w:t>
      </w:r>
    </w:p>
    <w:p>
      <w:pPr>
        <w:pStyle w:val="Heading1"/>
        <w:keepNext/>
        <w:spacing w:after="100" w:before="260"/>
      </w:pPr>
      <w:r>
        <w:rPr>
          <w:rFonts w:ascii="Arial" w:cs="Arial" w:eastAsia="Arial" w:hAnsi="Arial"/>
          <w:b/>
          <w:bCs/>
          <w:i w:val="false"/>
          <w:iCs w:val="false"/>
          <w:color w:val="000000"/>
          <w:sz w:val="26"/>
          <w:szCs w:val="26"/>
        </w:rPr>
        <w:t xml:space="preserve">F.4 Hesap zincirleri</w:t>
      </w:r>
    </w:p>
    <w:p>
      <w:pPr>
        <w:pStyle w:val="Heading2"/>
        <w:keepNext/>
        <w:spacing w:after="80" w:before="180"/>
      </w:pPr>
      <w:r>
        <w:rPr>
          <w:rFonts w:ascii="Arial" w:cs="Arial" w:eastAsia="Arial" w:hAnsi="Arial"/>
          <w:b/>
          <w:bCs/>
          <w:i w:val="false"/>
          <w:iCs w:val="false"/>
          <w:color w:val="000000"/>
          <w:sz w:val="21"/>
          <w:szCs w:val="21"/>
        </w:rPr>
        <w:t xml:space="preserve">F.4.1 Pazar büyüklüğü ve büyüme eğilimi (İş Planı 1.4)</w:t>
      </w:r>
    </w:p>
    <w:p>
      <w:pPr>
        <w:keepNext/>
        <w:spacing w:after="60" w:before="140"/>
      </w:pPr>
      <w:r>
        <w:rPr>
          <w:rFonts w:ascii="Arial" w:cs="Arial" w:eastAsia="Arial" w:hAnsi="Arial"/>
          <w:b/>
          <w:bCs/>
          <w:sz w:val="18"/>
          <w:szCs w:val="18"/>
        </w:rPr>
        <w:t xml:space="preserve">Tablo F-6. Pazar büyüklüğü ve büyüme eğilimi hesapları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0"/>
        <w:gridCol w:w="4451"/>
        <w:gridCol w:w="2967"/>
        <w:gridCol w:w="2374"/>
        <w:gridCol w:w="2376"/>
      </w:tblGrid>
      <w:tr>
        <w:trPr>
          <w:cantSplit/>
          <w:tblHeader/>
        </w:trPr>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Kalem</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Formül</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değeri</w:t>
            </w:r>
          </w:p>
        </w:tc>
        <w:tc>
          <w:tcPr>
            <w:tcW w:type="dxa" w:w="23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 yıllık eşdeğeri (KDV hariç)</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 × 12 ÷ 1,20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990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990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pazar üst sınırı (TAM)</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7.608.433 × 990 TL</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7.532.348.670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7,53 milyar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verilebilir pazar (SAM), kullanıcı</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7.608.433 × %20</w:t>
            </w:r>
          </w:p>
          <w:p>
            <w:pPr>
              <w:spacing w:after="30"/>
            </w:pPr>
            <w:r>
              <w:rPr>
                <w:rFonts w:ascii="Arial" w:cs="Arial" w:eastAsia="Arial" w:hAnsi="Arial"/>
                <w:sz w:val="17"/>
                <w:szCs w:val="17"/>
              </w:rPr>
              <w:t xml:space="preserve">Üst: 7.608.433 × %40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1.521.687</w:t>
            </w:r>
          </w:p>
          <w:p>
            <w:pPr>
              <w:spacing w:after="30"/>
            </w:pPr>
            <w:r>
              <w:rPr>
                <w:rFonts w:ascii="Arial" w:cs="Arial" w:eastAsia="Arial" w:hAnsi="Arial"/>
                <w:sz w:val="17"/>
                <w:szCs w:val="17"/>
              </w:rPr>
              <w:t xml:space="preserve">3.043.373</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1,52–3,04 milyon</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SAM, tutar</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1.521.687 × 990 TL</w:t>
            </w:r>
          </w:p>
          <w:p>
            <w:pPr>
              <w:spacing w:after="30"/>
            </w:pPr>
            <w:r>
              <w:rPr>
                <w:rFonts w:ascii="Arial" w:cs="Arial" w:eastAsia="Arial" w:hAnsi="Arial"/>
                <w:sz w:val="17"/>
                <w:szCs w:val="17"/>
              </w:rPr>
              <w:t xml:space="preserve">Üst: 3.043.373 × 990 TL</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1.506.469.734 TL</w:t>
            </w:r>
          </w:p>
          <w:p>
            <w:pPr>
              <w:spacing w:after="30"/>
            </w:pPr>
            <w:r>
              <w:rPr>
                <w:rFonts w:ascii="Arial" w:cs="Arial" w:eastAsia="Arial" w:hAnsi="Arial"/>
                <w:sz w:val="17"/>
                <w:szCs w:val="17"/>
              </w:rPr>
              <w:t xml:space="preserve">3.012.939.468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1,51–3,01 milyar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hizmete açık segment</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1.506.469.734 × %4</w:t>
            </w:r>
          </w:p>
          <w:p>
            <w:pPr>
              <w:spacing w:after="30"/>
            </w:pPr>
            <w:r>
              <w:rPr>
                <w:rFonts w:ascii="Arial" w:cs="Arial" w:eastAsia="Arial" w:hAnsi="Arial"/>
                <w:sz w:val="17"/>
                <w:szCs w:val="17"/>
              </w:rPr>
              <w:t xml:space="preserve">Üst: 3.012.939.468 × %10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60.258.789 TL</w:t>
            </w:r>
          </w:p>
          <w:p>
            <w:pPr>
              <w:spacing w:after="30"/>
            </w:pPr>
            <w:r>
              <w:rPr>
                <w:rFonts w:ascii="Arial" w:cs="Arial" w:eastAsia="Arial" w:hAnsi="Arial"/>
                <w:sz w:val="17"/>
                <w:szCs w:val="17"/>
              </w:rPr>
              <w:t xml:space="preserve">301.293.947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60–301 milyon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 alt uç düşük SAM ile %4, üst uç yüksek SAM ile %10</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coğrafi SAM (üç il)</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2.084.483 × %20 × 990 TL</w:t>
            </w:r>
          </w:p>
          <w:p>
            <w:pPr>
              <w:spacing w:after="30"/>
            </w:pPr>
            <w:r>
              <w:rPr>
                <w:rFonts w:ascii="Arial" w:cs="Arial" w:eastAsia="Arial" w:hAnsi="Arial"/>
                <w:sz w:val="17"/>
                <w:szCs w:val="17"/>
              </w:rPr>
              <w:t xml:space="preserve">Üst: 2.084.483 × %40 × 990 TL</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412.727.634 TL</w:t>
            </w:r>
          </w:p>
          <w:p>
            <w:pPr>
              <w:spacing w:after="30"/>
            </w:pPr>
            <w:r>
              <w:rPr>
                <w:rFonts w:ascii="Arial" w:cs="Arial" w:eastAsia="Arial" w:hAnsi="Arial"/>
                <w:sz w:val="17"/>
                <w:szCs w:val="17"/>
              </w:rPr>
              <w:t xml:space="preserve">825.455.268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413–825 milyon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SAM</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5.200 × 225 TL × 12</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14.040.000 TL + KDV (5.201 ile 14.042.700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14,04 milyon TL + KDV</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 girdi türetilmiş (Tablo F-2)</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Uluslararası referans</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12.480.336 × %20 × 990 TL</w:t>
            </w:r>
          </w:p>
          <w:p>
            <w:pPr>
              <w:spacing w:after="30"/>
            </w:pPr>
            <w:r>
              <w:rPr>
                <w:rFonts w:ascii="Arial" w:cs="Arial" w:eastAsia="Arial" w:hAnsi="Arial"/>
                <w:sz w:val="17"/>
                <w:szCs w:val="17"/>
              </w:rPr>
              <w:t xml:space="preserve">Üst: 12.480.336 × %40 × 990 TL</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2.471.106.528 TL</w:t>
            </w:r>
          </w:p>
          <w:p>
            <w:pPr>
              <w:spacing w:after="30"/>
            </w:pPr>
            <w:r>
              <w:rPr>
                <w:rFonts w:ascii="Arial" w:cs="Arial" w:eastAsia="Arial" w:hAnsi="Arial"/>
                <w:sz w:val="17"/>
                <w:szCs w:val="17"/>
              </w:rPr>
              <w:t xml:space="preserve">4.942.213.056 TL</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2,47–4,94 milyar TL</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 tanım farkı (F.3.3)</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Park büyümesi</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7.608.433 ÷ 3.744.370</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2,03 kat (%103,2 artış)</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katından fazla"</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tescil değişimi</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885.261 ÷ 1.206.587 − 1</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−%26,6</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%26"</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 var (yuvarlama)</w:t>
            </w:r>
          </w:p>
        </w:tc>
      </w:tr>
      <w:tr>
        <w:trPr>
          <w:cantSplit/>
          <w:tblHeader w:val="off"/>
        </w:trPr>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sekiz ay tescil değişimi</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526.611 ÷ 621.477 − 1</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−%15,3</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yok</w:t>
            </w:r>
          </w:p>
        </w:tc>
        <w:tc>
          <w:tcPr>
            <w:tcW w:type="dxa" w:w="23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Bağlam</w:t>
            </w:r>
          </w:p>
        </w:tc>
      </w:tr>
    </w:tbl>
    <w:p>
      <w:pPr>
        <w:spacing w:after="60"/>
      </w:pPr>
    </w:p>
    <w:p>
      <w:pPr>
        <w:spacing w:after="100" w:before="40"/>
      </w:pPr>
      <w:r>
        <w:rPr>
          <w:rFonts w:ascii="Arial" w:cs="Arial" w:eastAsia="Arial" w:hAnsi="Arial"/>
          <w:i/>
          <w:iCs/>
          <w:color w:val="595959"/>
          <w:sz w:val="16"/>
          <w:szCs w:val="16"/>
        </w:rPr>
        <w:t xml:space="preserve">Not: Kullanım oranı (%20–40) ve ödeme yapan kullanıcı oranı (%4–10) ölçülmemiş senaryo varsayımlarıdır; İş Planı 1.4 bu oranların proje dönemindeki anketlerle doğrulanacağını belirtmektedir. Toplam pazar, bütün kayıtlı motosikletlerin ödeme yapan kullanıcı olduğu teorik üst sınırdır ve satış tahmini değildir.</w:t>
      </w:r>
    </w:p>
    <w:p>
      <w:pPr>
        <w:pStyle w:val="Heading2"/>
        <w:keepNext/>
        <w:spacing w:after="80" w:before="180"/>
      </w:pPr>
      <w:r>
        <w:rPr>
          <w:rFonts w:ascii="Arial" w:cs="Arial" w:eastAsia="Arial" w:hAnsi="Arial"/>
          <w:b/>
          <w:bCs/>
          <w:i w:val="false"/>
          <w:iCs w:val="false"/>
          <w:color w:val="000000"/>
          <w:sz w:val="21"/>
          <w:szCs w:val="21"/>
        </w:rPr>
        <w:t xml:space="preserve">F.4.2 Elde edilebilir pazar, 5. yıl (İş Planı 1.4; Ek-D Tablo D-2)</w:t>
      </w:r>
    </w:p>
    <w:p>
      <w:pPr>
        <w:keepNext/>
        <w:spacing w:after="60" w:before="140"/>
      </w:pPr>
      <w:r>
        <w:rPr>
          <w:rFonts w:ascii="Arial" w:cs="Arial" w:eastAsia="Arial" w:hAnsi="Arial"/>
          <w:b/>
          <w:bCs/>
          <w:sz w:val="18"/>
          <w:szCs w:val="18"/>
        </w:rPr>
        <w:t xml:space="preserve">Tablo F-7. Elde edilebilir pazarın (SOM) 5. yıl ayrıştırması, Temmuz 2032–Haziran 2033</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857"/>
        <w:gridCol w:w="3857"/>
        <w:gridCol w:w="3860"/>
      </w:tblGrid>
      <w:tr>
        <w:trPr>
          <w:cantSplit/>
          <w:tblHeader/>
        </w:trPr>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Kalem</w:t>
            </w:r>
          </w:p>
        </w:tc>
        <w:tc>
          <w:tcPr>
            <w:tcW w:type="dxa" w:w="38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 Planı 1.4 ayrıştırması</w:t>
            </w:r>
          </w:p>
        </w:tc>
        <w:tc>
          <w:tcPr>
            <w:tcW w:type="dxa" w:w="38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Ek-D ödeyen tanımıyla ayrıştırma</w:t>
            </w:r>
          </w:p>
        </w:tc>
        <w:tc>
          <w:tcPr>
            <w:tcW w:type="dxa" w:w="38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Ortalama aylık aktif kullanıcı (MAU)</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(planda "MAU")</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(Ek-D'de "Ort. Silver MAU")</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Tablo D-2</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Ödeyen kullanıcı</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 %6 = 1.568</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 6 ÷ 94 = 1.668</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ödeyen kullanıcı-ay toplam MAU-ayın %6'sıdır; 57.683 ÷ (903.708 + 57.683) = %6,0</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abonelik brüt geliri</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1.568 × 89,61 TL × 12 ≈ 1.686.190 TL</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1.668 × 89,61 TL × 12 ≈ 1.793.819 TL</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Ortalama net fiyat 89,61 TL (Ek-D Tablo D-3)</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koltuğu (ortalama)</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321</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287 (Ek-D net gelirinden geriye hesap)</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321 değerinin hesabı Ek-D'de gösterilmemektedir</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lisansı brüt geliri</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321 × 225 TL × 12 = 866.700 TL</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776.053 TL</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225 TL + KDV/koltuk-ay</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reklam geliri</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 1,701 TL × 12 ≈ 533.468 TL</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533.468 TL</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başına ortalama reklam geliri (ARPU) 1,70 TL (Ek-D Tablo D-6)</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brüt satış (KDV hariç)</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3.086.358 TL (≈3,09 milyon)</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3.103.340 TL (≈3,10 milyon)</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(bu ek)</w:t>
            </w:r>
          </w:p>
        </w:tc>
      </w:tr>
      <w:tr>
        <w:trPr>
          <w:cantSplit/>
          <w:tblHeader w:val="off"/>
        </w:trPr>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komisyonu sonrası</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2.833.429 TL (≈2,83 milyon)</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2.834.267 TL</w:t>
            </w:r>
          </w:p>
        </w:tc>
        <w:tc>
          <w:tcPr>
            <w:tcW w:type="dxa" w:w="38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Tablo D-2; komisyon yalnız bireysel gelire %15</w:t>
            </w:r>
          </w:p>
        </w:tc>
      </w:tr>
    </w:tbl>
    <w:p>
      <w:pPr>
        <w:spacing w:after="60"/>
      </w:pPr>
    </w:p>
    <w:p>
      <w:pPr>
        <w:spacing w:after="100" w:before="40"/>
      </w:pPr>
      <w:r>
        <w:rPr>
          <w:rFonts w:ascii="Arial" w:cs="Arial" w:eastAsia="Arial" w:hAnsi="Arial"/>
          <w:i/>
          <w:iCs/>
          <w:color w:val="595959"/>
          <w:sz w:val="16"/>
          <w:szCs w:val="16"/>
        </w:rPr>
        <w:t xml:space="preserve">Not: İki ayrıştırma mağaza komisyonu sonrası 5. yıl gelirinde aynı sonuca (yaklaşık 2,83 milyon TL) ulaşmaktadır. Plan 1.4'teki ayrıştırma (ödeyen = Silver MAU × %6) bütün dönemlere uygulandığında 78 aylık filo geliri 2.856.691 TL çıkmakta ve Ek-D'deki 2.593.125 TL ile uyuşmamaktadır. Ek-D'nin ödeyen tanımıyla (ödeyen = Silver MAU × 6 ÷ 94) yapılan ayrıştırma 2.593.074 TL vermektedir; fark 51 TL'dir ve yuvarlamadan kaynaklanmaktadır. Bu nedenle 1.568 ödeyen ve 321 koltuk değerleri Ek-D toplamlarından yeniden üretilememektedir (F.5).</w:t>
      </w:r>
    </w:p>
    <w:p>
      <w:pPr>
        <w:pStyle w:val="Heading1"/>
        <w:keepNext/>
        <w:spacing w:after="100" w:before="260"/>
      </w:pPr>
      <w:r>
        <w:rPr>
          <w:rFonts w:ascii="Arial" w:cs="Arial" w:eastAsia="Arial" w:hAnsi="Arial"/>
          <w:b/>
          <w:bCs/>
          <w:i w:val="false"/>
          <w:iCs w:val="false"/>
          <w:color w:val="000000"/>
          <w:sz w:val="26"/>
          <w:szCs w:val="26"/>
        </w:rPr>
        <w:t xml:space="preserve">F.5 Plan ile kaynak karşılaştırması</w:t>
      </w:r>
    </w:p>
    <w:p>
      <w:pPr>
        <w:keepNext/>
        <w:spacing w:after="60" w:before="140"/>
      </w:pPr>
      <w:r>
        <w:rPr>
          <w:rFonts w:ascii="Arial" w:cs="Arial" w:eastAsia="Arial" w:hAnsi="Arial"/>
          <w:b/>
          <w:bCs/>
          <w:sz w:val="18"/>
          <w:szCs w:val="18"/>
        </w:rPr>
        <w:t xml:space="preserve">Tablo F-8. Plan ifadeleri ile kaynak değerlerinin karşılaştırması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3561"/>
        <w:gridCol w:w="1780"/>
        <w:gridCol w:w="5936"/>
      </w:tblGrid>
      <w:tr>
        <w:trPr>
          <w:cantSplit/>
          <w:tblHeader/>
        </w:trPr>
        <w:tc>
          <w:tcPr>
            <w:tcW w:type="dxa" w:w="356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ifadesi (alan)</w:t>
            </w:r>
          </w:p>
        </w:tc>
        <w:tc>
          <w:tcPr>
            <w:tcW w:type="dxa" w:w="356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 değeri</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59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Açıklama ve öneri</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2026'da 7.608.433 motosiklet, taşıtların %21,8'i (1.1,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7.608.433; %21,79 [K1]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"TÜİK, Motorlu Kara Taşıtları, Ağustos 2026 (16.09.2026)" olarak yazılabilir.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971.480; İstanbul, Antalya ve İzmir toplamı 2.084.483, yaklaşık 2,08 milyon (1.2,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971.480; 2.084.483 [K1]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F-1.</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2021 sonunda yaklaşık 3,74 milyon motosiklet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3.744.370 [K1]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F-1.</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motosiklet tescilleri 2025'te yaklaşık %26 azalarak 885.261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885.261; bir önceki yıl 1.206.587; değişim −%26,6 [K2]</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 var (küçük)</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Sayı doğrudur; oran "%26,6" ya da "yaklaşık %27" yazılmalıdır.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106.077 kurye taşıtı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106.077 [K6]</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"15.05.2026 itibarıyla (UAB)" eklenebilir.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taşıtlarının yaklaşık 5.200'ü çok taşıtlı işletmelerde (1.4); P1/P2 yetki belgeli çok taşıtlı işletmeler (1.2)</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UAB'de yok; 106.077 − 100.876 = 5.201 (türetilmiş)</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 doğrulanamadı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Değerin UAB verisinden türetildiği belirtilmelidir; tutarlılık sınamaları sorun göstermektedir (Tablo F-2). UAB'den P1/P2 ve taşıt bandı kırılımı istenmelidir.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İtalya ve İspanya'da toplam 12,48 milyon motosiklet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12.480.336 (2025) [K8]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 yıl eksik</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 yıl sonu, Eurostat" eklenmelidir; Eurostat değeri mopedleri kapsamaz.</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INRIX 2025'e göre dünyanın en sıkışık kenti (1.1)</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Birinci sıra; 118 saat [K10]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tarihi 15.12.2025.</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Türkiye'de 2025'te 6.035 ölüm; 1.334'ü (%22,1) motosiklet sürücüsü (1.8)</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6.035; 1.334; %22,1 [K4]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"TÜİK, Karayolu Trafik Kaza İstatistikleri, 2025 (06.05.2026)".</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44 motokurye 2025'te iş başında hayatını kaybetmiştir (1.8)</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44 [K11]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Doğrulandı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adı ve 13.01.2026 tarihi eklenebilir; sayının resmî istatistik olmadığı not edilmelidir.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ilgisi yıllık ortalamanın yaklaşık %68'i, temmuz %125 (1.7)</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0,684; 1,251 [K12], [K13]</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kayıt</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yeniden üretilmiştir; Google Trends 30.09.2026'da erişime izin vermemiştir.</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Beşinci yılda 26.135 MAU, %6 ile yaklaşık 1.568 ödeyen, 321 koltuk, yaklaşık 3,09 milyon TL brüt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tanımıyla 1.668 ödeyen, yaklaşık 287 koltuk, yaklaşık 3,10 milyon TL brüt; komisyon sonrası iki durumda da yaklaşık 2,83 milyon TL</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 var (tanım)</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26.135 Ek-D'de Silver MAU'dur. Ödeyen ve koltuk değerleri Ek-D modelinden teyit edilmelidir (Tablo F-7).</w:t>
            </w:r>
          </w:p>
        </w:tc>
      </w:tr>
      <w:tr>
        <w:trPr>
          <w:cantSplit/>
          <w:tblHeader w:val="off"/>
        </w:trPr>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Pazar büyüklüğü hesapları (1.4)</w:t>
            </w:r>
          </w:p>
        </w:tc>
        <w:tc>
          <w:tcPr>
            <w:tcW w:type="dxa" w:w="35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F-6</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Tutarlı</w:t>
            </w:r>
          </w:p>
        </w:tc>
        <w:tc>
          <w:tcPr>
            <w:tcW w:type="dxa" w:w="59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Aritmetik fark bulunmamıştır.</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F.6 Sınırlılıklar</w:t>
      </w:r>
    </w:p>
    <w:p>
      <w:pPr>
        <w:pStyle w:val="ListParagraph"/>
        <w:numPr>
          <w:ilvl w:val="0"/>
          <w:numId w:val="2"/>
        </w:numPr>
        <w:spacing w:after="50"/>
      </w:pPr>
      <w:r>
        <w:rPr>
          <w:rFonts w:ascii="Arial" w:cs="Arial" w:eastAsia="Arial" w:hAnsi="Arial"/>
          <w:sz w:val="18"/>
          <w:szCs w:val="18"/>
        </w:rPr>
        <w:t xml:space="preserve">Kayıtlı park, aktif sürücü sayısı değildir; il değerleri taşıtın kayıtlı olduğu ile göredir. Pazar oranları (%20–40 ve %4–10) ölçülmemiş senaryo varsayımlarıdır.</w:t>
      </w:r>
    </w:p>
    <w:p>
      <w:pPr>
        <w:pStyle w:val="ListParagraph"/>
        <w:numPr>
          <w:ilvl w:val="0"/>
          <w:numId w:val="2"/>
        </w:numPr>
        <w:spacing w:after="50"/>
      </w:pPr>
      <w:r>
        <w:rPr>
          <w:rFonts w:ascii="Arial" w:cs="Arial" w:eastAsia="Arial" w:hAnsi="Arial"/>
          <w:sz w:val="18"/>
          <w:szCs w:val="18"/>
        </w:rPr>
        <w:t xml:space="preserve">TÜİK motosiklet sınıfı motorlu bisikletleri kapsarken Eurostat motosiklet sınıfı mopedleri kapsamamaktadır. İtalya ve İspanya referansı bu nedenle Türkiye tanımıyla doğrudan karşılaştırılamaz.</w:t>
      </w:r>
    </w:p>
    <w:p>
      <w:pPr>
        <w:pStyle w:val="ListParagraph"/>
        <w:numPr>
          <w:ilvl w:val="0"/>
          <w:numId w:val="2"/>
        </w:numPr>
        <w:spacing w:after="50"/>
      </w:pPr>
      <w:r>
        <w:rPr>
          <w:rFonts w:ascii="Arial" w:cs="Arial" w:eastAsia="Arial" w:hAnsi="Arial"/>
          <w:sz w:val="18"/>
          <w:szCs w:val="18"/>
        </w:rPr>
        <w:t xml:space="preserve">Çok taşıtlı işletmelerdeki taşıt sayısı UAB açıklamasından türetilmiştir; resmî kırılım yayımlanmamıştır.</w:t>
      </w:r>
    </w:p>
    <w:p>
      <w:pPr>
        <w:pStyle w:val="ListParagraph"/>
        <w:numPr>
          <w:ilvl w:val="0"/>
          <w:numId w:val="2"/>
        </w:numPr>
        <w:spacing w:after="50"/>
      </w:pPr>
      <w:r>
        <w:rPr>
          <w:rFonts w:ascii="Arial" w:cs="Arial" w:eastAsia="Arial" w:hAnsi="Arial"/>
          <w:sz w:val="18"/>
          <w:szCs w:val="18"/>
        </w:rPr>
        <w:t xml:space="preserve">Motokurye ölüm sayısı derneğin tarama yöntemine dayanan bir alt sınırdır ve resmî istatistik değildir.</w:t>
      </w:r>
    </w:p>
    <w:p>
      <w:pPr>
        <w:pStyle w:val="ListParagraph"/>
        <w:numPr>
          <w:ilvl w:val="0"/>
          <w:numId w:val="2"/>
        </w:numPr>
        <w:spacing w:after="50"/>
      </w:pPr>
      <w:r>
        <w:rPr>
          <w:rFonts w:ascii="Arial" w:cs="Arial" w:eastAsia="Arial" w:hAnsi="Arial"/>
          <w:sz w:val="18"/>
          <w:szCs w:val="18"/>
        </w:rPr>
        <w:t xml:space="preserve">INRIX saat kaybı genel trafik gecikmesini ölçmektedir; motosiklet sürücüsüne özgü değildir.</w:t>
      </w:r>
    </w:p>
    <w:p>
      <w:pPr>
        <w:pStyle w:val="ListParagraph"/>
        <w:numPr>
          <w:ilvl w:val="0"/>
          <w:numId w:val="2"/>
        </w:numPr>
        <w:spacing w:after="50"/>
      </w:pPr>
      <w:r>
        <w:rPr>
          <w:rFonts w:ascii="Arial" w:cs="Arial" w:eastAsia="Arial" w:hAnsi="Arial"/>
          <w:sz w:val="18"/>
          <w:szCs w:val="18"/>
        </w:rPr>
        <w:t xml:space="preserve">Google Trends değerleri örneklemeye dayalı göreli endekslerdir; yeniden indirmede küçük farklar oluşabilir. Endeks dönem seçimine duyarlıdır: v15 büyüme planında 2021–2025 verisiyle yapılan ayrı hesapta "motosiklet" endeksi ocakta 0,72, temmuzda 1,20 bulunmuştur [K14]. Sorgular uygulama ya da navigasyon talebini doğrudan ölçmez.</w:t>
      </w:r>
    </w:p>
    <w:p>
      <w:pPr>
        <w:pStyle w:val="ListParagraph"/>
        <w:numPr>
          <w:ilvl w:val="0"/>
          <w:numId w:val="2"/>
        </w:numPr>
        <w:spacing w:after="50"/>
      </w:pPr>
      <w:r>
        <w:rPr>
          <w:rFonts w:ascii="Arial" w:cs="Arial" w:eastAsia="Arial" w:hAnsi="Arial"/>
          <w:sz w:val="18"/>
          <w:szCs w:val="18"/>
        </w:rPr>
        <w:t xml:space="preserve">TÜİK ve Eurostat değerleri sonraki yayınlarda düzeltilebilir; TÜİK 2025 kaza bülteni "düzeltilmiş" olarak yayımlanmıştır.</w:t>
      </w:r>
    </w:p>
    <w:p>
      <w:pPr>
        <w:pStyle w:val="Heading1"/>
        <w:keepNext/>
        <w:spacing w:after="100" w:before="260"/>
      </w:pPr>
      <w:r>
        <w:rPr>
          <w:rFonts w:ascii="Arial" w:cs="Arial" w:eastAsia="Arial" w:hAnsi="Arial"/>
          <w:b/>
          <w:bCs/>
          <w:i w:val="false"/>
          <w:iCs w:val="false"/>
          <w:color w:val="000000"/>
          <w:sz w:val="26"/>
          <w:szCs w:val="26"/>
        </w:rPr>
        <w:t xml:space="preserve">F.7 Kaynaklar</w:t>
      </w:r>
    </w:p>
    <w:p>
      <w:pPr>
        <w:keepNext/>
        <w:spacing w:after="60" w:before="140"/>
      </w:pPr>
      <w:r>
        <w:rPr>
          <w:rFonts w:ascii="Arial" w:cs="Arial" w:eastAsia="Arial" w:hAnsi="Arial"/>
          <w:b/>
          <w:bCs/>
          <w:sz w:val="18"/>
          <w:szCs w:val="18"/>
        </w:rPr>
        <w:t xml:space="preserve">Tablo F-9. Kaynaklar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8"/>
        <w:gridCol w:w="13800"/>
      </w:tblGrid>
      <w:tr>
        <w:trPr>
          <w:cantSplit/>
          <w:tblHeader/>
        </w:trPr>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3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TÜİK, "Motorlu Kara Taşıtları, Ağustos 2026" haber bülteni ve ekli istatistiksel tablolar ("İllere göre motorlu kara taşıtları sayısı", "Yıllara göre motorlu kara taşıtları sayısı", "Ay ve yıllara göre kaydı yapılan ve kaydı silinen motorlu kara taşıtları sayısı"), 16.09.2026. </w:t>
            </w:r>
            <w:hyperlink w:history="1" r:id="rId_mu3env36qpu8p5dfowfc">
              <w:r>
                <w:rPr>
                  <w:rFonts w:ascii="Arial" w:cs="Arial" w:eastAsia="Arial" w:hAnsi="Arial"/>
                  <w:color w:val="1F4E79"/>
                  <w:sz w:val="17"/>
                  <w:szCs w:val="17"/>
                </w:rPr>
                <w:t xml:space="preserve">https://veriportali.tuik.gov.tr/tr/press/58052</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TÜİK, "Motorlu Kara Taşıtları, Aralık 2025" haber bülteni ve ekli tablo "Ay ve yıllara göre kaydı yapılan ve kaydı silinen motorlu kara taşıtları sayısı", 16.01.2026. </w:t>
            </w:r>
            <w:hyperlink w:history="1" r:id="rIdiqzh7itkqn1atikjgsfsi">
              <w:r>
                <w:rPr>
                  <w:rFonts w:ascii="Arial" w:cs="Arial" w:eastAsia="Arial" w:hAnsi="Arial"/>
                  <w:color w:val="1F4E79"/>
                  <w:sz w:val="17"/>
                  <w:szCs w:val="17"/>
                </w:rPr>
                <w:t xml:space="preserve">https://veriportali.tuik.gov.tr/tr/press/54047</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TÜİK, "Motorlu Kara Taşıtları, Aralık 2021" haber bülteni, 26.01.2022. </w:t>
            </w:r>
            <w:hyperlink w:history="1" r:id="rIdq0m1tedtmcgjba8vrcbfz">
              <w:r>
                <w:rPr>
                  <w:rFonts w:ascii="Arial" w:cs="Arial" w:eastAsia="Arial" w:hAnsi="Arial"/>
                  <w:color w:val="1F4E79"/>
                  <w:sz w:val="17"/>
                  <w:szCs w:val="17"/>
                </w:rPr>
                <w:t xml:space="preserve">https://veriportali.tuik.gov.tr/tr/press/45703</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TÜİK, "Karayolu Trafik Kaza İstatistikleri, 2025" haber bülteni (düzeltilmiş), 06.05.2026. </w:t>
            </w:r>
            <w:hyperlink w:history="1" r:id="rIdwwkunya9od3a-9r5zedb8">
              <w:r>
                <w:rPr>
                  <w:rFonts w:ascii="Arial" w:cs="Arial" w:eastAsia="Arial" w:hAnsi="Arial"/>
                  <w:color w:val="1F4E79"/>
                  <w:sz w:val="17"/>
                  <w:szCs w:val="17"/>
                </w:rPr>
                <w:t xml:space="preserve">https://veriportali.tuik.gov.tr/tr/press/58133</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Anadolu Ajansı, "Motosiklet sayısının otomobil sayısını geçtiği il sayısı 7 oldu", 17.09.2026. </w:t>
            </w:r>
            <w:hyperlink w:history="1" r:id="rIdmbhoc7ursxvkslgc-z4v_">
              <w:r>
                <w:rPr>
                  <w:rFonts w:ascii="Arial" w:cs="Arial" w:eastAsia="Arial" w:hAnsi="Arial"/>
                  <w:color w:val="1F4E79"/>
                  <w:sz w:val="17"/>
                  <w:szCs w:val="17"/>
                </w:rPr>
                <w:t xml:space="preserve">https://www.aa.com.tr/tr/ekonomi/motosiklet-sayisinin-otomobil-sayisini-gectigi-il-sayisi-7-oldu/4059761</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Ulaştırma ve Altyapı Bakanlığı, "SRC-Kurye Belgesi İçin Süre Uzatılıyor", 15.05.2026. </w:t>
            </w:r>
            <w:hyperlink w:history="1" r:id="rId5fqyicjdg1a0bpm4pz9bh">
              <w:r>
                <w:rPr>
                  <w:rFonts w:ascii="Arial" w:cs="Arial" w:eastAsia="Arial" w:hAnsi="Arial"/>
                  <w:color w:val="1F4E79"/>
                  <w:sz w:val="17"/>
                  <w:szCs w:val="17"/>
                </w:rPr>
                <w:t xml:space="preserve">https://www.uab.gov.tr/haberler/src-kurye-belgesi-icin-suere-uzatiliyor/</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Resmî Gazete, "Karayolu Taşıma Yönetmeliğinde Değişiklik Yapılmasına Dair Yönetmelik", 15.05.2025, sayı 32901. </w:t>
            </w:r>
            <w:hyperlink w:history="1" r:id="rIdpu0ddd7tgdf9pbxruidnd">
              <w:r>
                <w:rPr>
                  <w:rFonts w:ascii="Arial" w:cs="Arial" w:eastAsia="Arial" w:hAnsi="Arial"/>
                  <w:color w:val="1F4E79"/>
                  <w:sz w:val="17"/>
                  <w:szCs w:val="17"/>
                </w:rPr>
                <w:t xml:space="preserve">https://www.resmigazete.gov.tr/eskiler/2025/05/20250515-1.htm</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Eurostat, "Motorcycles by engine size" (road_eqs_motorc), veri seti güncellemesi 30.07.2026. </w:t>
            </w:r>
            <w:hyperlink w:history="1" r:id="rIdbbam0v7s8glsy7nqdfeha">
              <w:r>
                <w:rPr>
                  <w:rFonts w:ascii="Arial" w:cs="Arial" w:eastAsia="Arial" w:hAnsi="Arial"/>
                  <w:color w:val="1F4E79"/>
                  <w:sz w:val="17"/>
                  <w:szCs w:val="17"/>
                </w:rPr>
                <w:t xml:space="preserve">https://ec.europa.eu/eurostat/databrowser/view/road_eqs_motorc/default/table?lang=en</w:t>
              </w:r>
            </w:hyperlink>
            <w:r>
              <w:rPr>
                <w:rFonts w:ascii="Arial" w:cs="Arial" w:eastAsia="Arial" w:hAnsi="Arial"/>
                <w:sz w:val="17"/>
                <w:szCs w:val="17"/>
              </w:rPr>
              <w:t xml:space="preserve">; sorgu: </w:t>
            </w:r>
            <w:hyperlink w:history="1" r:id="rId6_isowcdi0zsd43mz4vyo">
              <w:r>
                <w:rPr>
                  <w:rFonts w:ascii="Arial" w:cs="Arial" w:eastAsia="Arial" w:hAnsi="Arial"/>
                  <w:color w:val="1F4E79"/>
                  <w:sz w:val="17"/>
                  <w:szCs w:val="17"/>
                </w:rPr>
                <w:t xml:space="preserve">https://ec.europa.eu/eurostat/api/dissemination/statistics/1.0/data/road_eqs_motorc?format=JSON&amp;lang=EN&amp;geo=IT&amp;geo=ES</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Eurostat, "Mopeds and motorcycles by type of motor energy" (road_eqs_mopeds), veri seti güncellemesi 30.07.2026. </w:t>
            </w:r>
            <w:hyperlink w:history="1" r:id="rIdg4kx8vkdwuq-xozqf_bgd">
              <w:r>
                <w:rPr>
                  <w:rFonts w:ascii="Arial" w:cs="Arial" w:eastAsia="Arial" w:hAnsi="Arial"/>
                  <w:color w:val="1F4E79"/>
                  <w:sz w:val="17"/>
                  <w:szCs w:val="17"/>
                </w:rPr>
                <w:t xml:space="preserve">https://ec.europa.eu/eurostat/databrowser/view/road_eqs_mopeds/default/table?lang=en</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INRIX, B. Pishue, "Congestion Up, Fatalities Down: What the 2025 INRIX Global Traffic Scorecard Reveals", 15.12.2025. </w:t>
            </w:r>
            <w:hyperlink w:history="1" r:id="rId7vggk5gaoqg4n0mhqum7l">
              <w:r>
                <w:rPr>
                  <w:rFonts w:ascii="Arial" w:cs="Arial" w:eastAsia="Arial" w:hAnsi="Arial"/>
                  <w:color w:val="1F4E79"/>
                  <w:sz w:val="17"/>
                  <w:szCs w:val="17"/>
                </w:rPr>
                <w:t xml:space="preserve">https://inrix.com/blog/congestion-up-fatalities-down-what-the-2025-inrix-global-traffic-scorecard-reveals/</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Hakları Derneği, "Moto Kurye Ölümleri Raporu 2025", 13.01.2026. </w:t>
            </w:r>
            <w:hyperlink w:history="1" r:id="rId2wdindd0bqifchjuppzan">
              <w:r>
                <w:rPr>
                  <w:rFonts w:ascii="Arial" w:cs="Arial" w:eastAsia="Arial" w:hAnsi="Arial"/>
                  <w:color w:val="1F4E79"/>
                  <w:sz w:val="17"/>
                  <w:szCs w:val="17"/>
                </w:rPr>
                <w:t xml:space="preserve">https://kuryehaklari.org/moto-kurye-olumleri-raporu-2025/</w:t>
              </w:r>
            </w:hyperlink>
            <w:r>
              <w:rPr>
                <w:rFonts w:ascii="Arial" w:cs="Arial" w:eastAsia="Arial" w:hAnsi="Arial"/>
                <w:sz w:val="17"/>
                <w:szCs w:val="17"/>
              </w:rPr>
              <w:t xml:space="preserve">; rapor dosyası: </w:t>
            </w:r>
            <w:hyperlink w:history="1" r:id="rIdemwyakbnmhqex0xome_se">
              <w:r>
                <w:rPr>
                  <w:rFonts w:ascii="Arial" w:cs="Arial" w:eastAsia="Arial" w:hAnsi="Arial"/>
                  <w:color w:val="1F4E79"/>
                  <w:sz w:val="17"/>
                  <w:szCs w:val="17"/>
                </w:rPr>
                <w:t xml:space="preserve">https://kuryehaklari.org/wp-content/uploads/2026/01/Kurye-Olumleri-Raporu-2025.pdf</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Trends, Türkiye, aylık arama ilgisi, "motosiklet", "motor kask" ve "moto kurye", Ocak 2016–Ağustos 2026; ekip indirmesi 23.09.2026. </w:t>
            </w:r>
            <w:hyperlink w:history="1" r:id="rIdrisclzy9az1vqcncv0jcd">
              <w:r>
                <w:rPr>
                  <w:rFonts w:ascii="Arial" w:cs="Arial" w:eastAsia="Arial" w:hAnsi="Arial"/>
                  <w:color w:val="1F4E79"/>
                  <w:sz w:val="17"/>
                  <w:szCs w:val="17"/>
                </w:rPr>
                <w:t xml:space="preserve">https://trends.google.com/trends/explore?geo=TR&amp;q=motosiklet</w:t>
              </w:r>
            </w:hyperlink>
            <w:r>
              <w:rPr>
                <w:rFonts w:ascii="Arial" w:cs="Arial" w:eastAsia="Arial" w:hAnsi="Arial"/>
                <w:sz w:val="17"/>
                <w:szCs w:val="17"/>
              </w:rPr>
              <w:t xml:space="preserve">; </w:t>
            </w:r>
            <w:hyperlink w:history="1" r:id="rIduenlml4y7ke50f_t8_atd">
              <w:r>
                <w:rPr>
                  <w:rFonts w:ascii="Arial" w:cs="Arial" w:eastAsia="Arial" w:hAnsi="Arial"/>
                  <w:color w:val="1F4E79"/>
                  <w:sz w:val="17"/>
                  <w:szCs w:val="17"/>
                </w:rPr>
                <w:t xml:space="preserve">https://trends.google.com/trends/explore?geo=TR&amp;q=motor%20kask</w:t>
              </w:r>
            </w:hyperlink>
            <w:r>
              <w:rPr>
                <w:rFonts w:ascii="Arial" w:cs="Arial" w:eastAsia="Arial" w:hAnsi="Arial"/>
                <w:sz w:val="17"/>
                <w:szCs w:val="17"/>
              </w:rPr>
              <w:t xml:space="preserve">; </w:t>
            </w:r>
            <w:hyperlink w:history="1" r:id="rIddky-nk8o8anxqly5aq7e4">
              <w:r>
                <w:rPr>
                  <w:rFonts w:ascii="Arial" w:cs="Arial" w:eastAsia="Arial" w:hAnsi="Arial"/>
                  <w:color w:val="1F4E79"/>
                  <w:sz w:val="17"/>
                  <w:szCs w:val="17"/>
                </w:rPr>
                <w:t xml:space="preserve">https://trends.google.com/trends/explore?geo=TR&amp;q=moto%20kurye</w:t>
              </w:r>
            </w:hyperlink>
            <w:r>
              <w:rPr>
                <w:rFonts w:ascii="Arial" w:cs="Arial" w:eastAsia="Arial" w:hAnsi="Arial"/>
                <w:sz w:val="17"/>
                <w:szCs w:val="17"/>
              </w:rPr>
              <w:t xml:space="preserve"> (30.09.2026 erişim denemesi 429 yanıtıyla reddedildi; veri iç dosyalardan)</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v15 fizibilite modeli (ek6_v3): seasonality.py, sources.py (GT2026, UAB2026, TUIK_AUG2026), config.py; çıktılar results\mevsimsellik.json ve charts\mevsimsellik.png, 23.09.2026. İç dosya: C:\Users\lenovo\Desktop\motomap-repos\motomap-bigg-v15\fizibilite-ek6-v3\</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v15 çalışma dosyaları, 23.09.2026: arastirma\R2_market_competition.md; uzman-raporlari\lojistik\b2b_raporu.md; uzman-raporlari\saha\netnografi.md (bölüm 3.8); uzman-raporlari\buyume\buyume_plani.md. İç dosya: C:\Users\lenovo\Desktop\motomap-repos\motomap-bigg-v15\</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 112 İş Planı (5.1 revize metni) ve Ek-D "Sayısal Fizibilite Özeti", 29.09.2026. İç dosya</w:t>
            </w:r>
          </w:p>
        </w:tc>
      </w:tr>
    </w:tbl>
    <w:p>
      <w:pPr>
        <w:spacing w:after="60"/>
      </w:pPr>
    </w:p>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Ek-F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pif47ozmmwd19cjhawyu" Type="http://schemas.openxmlformats.org/officeDocument/2006/relationships/hyperlink" Target="https://veriportali.tuik.gov.tr/tr/press/58052" TargetMode="External"/><Relationship Id="rIdgoieycfvj4ssde-jpqave" Type="http://schemas.openxmlformats.org/officeDocument/2006/relationships/hyperlink" Target="https://veriportali.tuik.gov.tr/tr/press/58052" TargetMode="External"/><Relationship Id="rIdftlzhxgmt6obewtgyssbg" Type="http://schemas.openxmlformats.org/officeDocument/2006/relationships/hyperlink" Target="https://veriportali.tuik.gov.tr/tr/press/58052" TargetMode="External"/><Relationship Id="rIdobctgotxkqvnphicmjuz7" Type="http://schemas.openxmlformats.org/officeDocument/2006/relationships/hyperlink" Target="https://veriportali.tuik.gov.tr/tr/press/58052" TargetMode="External"/><Relationship Id="rId4j7bprd69nidjq9jlbvo8" Type="http://schemas.openxmlformats.org/officeDocument/2006/relationships/hyperlink" Target="https://veriportali.tuik.gov.tr/tr/press/58052" TargetMode="External"/><Relationship Id="rIdjcd0awh-jxg3fbyq5czsm" Type="http://schemas.openxmlformats.org/officeDocument/2006/relationships/hyperlink" Target="https://veriportali.tuik.gov.tr/tr/press/58052" TargetMode="External"/><Relationship Id="rIdkpmzhcoojs2juyn8-vscq" Type="http://schemas.openxmlformats.org/officeDocument/2006/relationships/hyperlink" Target="https://veriportali.tuik.gov.tr/tr/press/45703" TargetMode="External"/><Relationship Id="rIdehjv39g0znho78-vvtfpc" Type="http://schemas.openxmlformats.org/officeDocument/2006/relationships/hyperlink" Target="https://veriportali.tuik.gov.tr/tr/press/58052" TargetMode="External"/><Relationship Id="rIddaxg_cwqbktuswq1_mpds" Type="http://schemas.openxmlformats.org/officeDocument/2006/relationships/hyperlink" Target="https://veriportali.tuik.gov.tr/tr/press/54047" TargetMode="External"/><Relationship Id="rIdip3t5u5fvdfp-4huusrex" Type="http://schemas.openxmlformats.org/officeDocument/2006/relationships/hyperlink" Target="https://veriportali.tuik.gov.tr/tr/press/54047" TargetMode="External"/><Relationship Id="rId-bhulgbf7simjbtgcwo4n" Type="http://schemas.openxmlformats.org/officeDocument/2006/relationships/hyperlink" Target="https://veriportali.tuik.gov.tr/tr/press/58052" TargetMode="External"/><Relationship Id="rIdxw91kg9-abohcpir69-eq" Type="http://schemas.openxmlformats.org/officeDocument/2006/relationships/hyperlink" Target="https://www.aa.com.tr/tr/ekonomi/motosiklet-sayisinin-otomobil-sayisini-gectigi-il-sayisi-7-oldu/4059761" TargetMode="External"/><Relationship Id="rIdfo1glq8syctm2r9dvs_hf" Type="http://schemas.openxmlformats.org/officeDocument/2006/relationships/hyperlink" Target="https://www.uab.gov.tr/haberler/src-kurye-belgesi-icin-suere-uzatiliyor/" TargetMode="External"/><Relationship Id="rIdktflbtgsehgfbxo9uxa_e" Type="http://schemas.openxmlformats.org/officeDocument/2006/relationships/hyperlink" Target="https://www.resmigazete.gov.tr/eskiler/2025/05/20250515-1.htm" TargetMode="External"/><Relationship Id="rIdlsoz3rwvyuvbkkig1r4bi" Type="http://schemas.openxmlformats.org/officeDocument/2006/relationships/hyperlink" Target="https://ec.europa.eu/eurostat/databrowser/view/road_eqs_motorc/default/table?lang=en" TargetMode="External"/><Relationship Id="rIdefsn_mhmissyovqhgx5b8" Type="http://schemas.openxmlformats.org/officeDocument/2006/relationships/hyperlink" Target="https://ec.europa.eu/eurostat/databrowser/view/road_eqs_mopeds/default/table?lang=en" TargetMode="External"/><Relationship Id="rIdrtdejokl4lra5aehm05lk" Type="http://schemas.openxmlformats.org/officeDocument/2006/relationships/hyperlink" Target="https://ec.europa.eu/eurostat/api/dissemination/statistics/1.0/data/road_eqs_motorc?format=JSON&amp;lang=EN&amp;geo=IT&amp;geo=ES" TargetMode="External"/><Relationship Id="rIdreyetvjoeqcjorhtie0f9" Type="http://schemas.openxmlformats.org/officeDocument/2006/relationships/hyperlink" Target="https://inrix.com/blog/congestion-up-fatalities-down-what-the-2025-inrix-global-traffic-scorecard-reveals/" TargetMode="External"/><Relationship Id="rIdtdnjaf9fuibn0ib3cs97t" Type="http://schemas.openxmlformats.org/officeDocument/2006/relationships/hyperlink" Target="https://veriportali.tuik.gov.tr/tr/press/58133" TargetMode="External"/><Relationship Id="rIdihisyygiqz6i_cz8xjoiu" Type="http://schemas.openxmlformats.org/officeDocument/2006/relationships/hyperlink" Target="https://kuryehaklari.org/moto-kurye-olumleri-raporu-2025/" TargetMode="External"/><Relationship Id="rId_mu3env36qpu8p5dfowfc" Type="http://schemas.openxmlformats.org/officeDocument/2006/relationships/hyperlink" Target="https://veriportali.tuik.gov.tr/tr/press/58052" TargetMode="External"/><Relationship Id="rIdiqzh7itkqn1atikjgsfsi" Type="http://schemas.openxmlformats.org/officeDocument/2006/relationships/hyperlink" Target="https://veriportali.tuik.gov.tr/tr/press/54047" TargetMode="External"/><Relationship Id="rIdq0m1tedtmcgjba8vrcbfz" Type="http://schemas.openxmlformats.org/officeDocument/2006/relationships/hyperlink" Target="https://veriportali.tuik.gov.tr/tr/press/45703" TargetMode="External"/><Relationship Id="rIdwwkunya9od3a-9r5zedb8" Type="http://schemas.openxmlformats.org/officeDocument/2006/relationships/hyperlink" Target="https://veriportali.tuik.gov.tr/tr/press/58133" TargetMode="External"/><Relationship Id="rIdmbhoc7ursxvkslgc-z4v_" Type="http://schemas.openxmlformats.org/officeDocument/2006/relationships/hyperlink" Target="https://www.aa.com.tr/tr/ekonomi/motosiklet-sayisinin-otomobil-sayisini-gectigi-il-sayisi-7-oldu/4059761" TargetMode="External"/><Relationship Id="rId5fqyicjdg1a0bpm4pz9bh" Type="http://schemas.openxmlformats.org/officeDocument/2006/relationships/hyperlink" Target="https://www.uab.gov.tr/haberler/src-kurye-belgesi-icin-suere-uzatiliyor/" TargetMode="External"/><Relationship Id="rIdpu0ddd7tgdf9pbxruidnd" Type="http://schemas.openxmlformats.org/officeDocument/2006/relationships/hyperlink" Target="https://www.resmigazete.gov.tr/eskiler/2025/05/20250515-1.htm" TargetMode="External"/><Relationship Id="rIdbbam0v7s8glsy7nqdfeha" Type="http://schemas.openxmlformats.org/officeDocument/2006/relationships/hyperlink" Target="https://ec.europa.eu/eurostat/databrowser/view/road_eqs_motorc/default/table?lang=en" TargetMode="External"/><Relationship Id="rId6_isowcdi0zsd43mz4vyo" Type="http://schemas.openxmlformats.org/officeDocument/2006/relationships/hyperlink" Target="https://ec.europa.eu/eurostat/api/dissemination/statistics/1.0/data/road_eqs_motorc?format=JSON&amp;lang=EN&amp;geo=IT&amp;geo=ES" TargetMode="External"/><Relationship Id="rIdg4kx8vkdwuq-xozqf_bgd" Type="http://schemas.openxmlformats.org/officeDocument/2006/relationships/hyperlink" Target="https://ec.europa.eu/eurostat/databrowser/view/road_eqs_mopeds/default/table?lang=en" TargetMode="External"/><Relationship Id="rId7vggk5gaoqg4n0mhqum7l" Type="http://schemas.openxmlformats.org/officeDocument/2006/relationships/hyperlink" Target="https://inrix.com/blog/congestion-up-fatalities-down-what-the-2025-inrix-global-traffic-scorecard-reveals/" TargetMode="External"/><Relationship Id="rId2wdindd0bqifchjuppzan" Type="http://schemas.openxmlformats.org/officeDocument/2006/relationships/hyperlink" Target="https://kuryehaklari.org/moto-kurye-olumleri-raporu-2025/" TargetMode="External"/><Relationship Id="rIdemwyakbnmhqex0xome_se" Type="http://schemas.openxmlformats.org/officeDocument/2006/relationships/hyperlink" Target="https://kuryehaklari.org/wp-content/uploads/2026/01/Kurye-Olumleri-Raporu-2025.pdf" TargetMode="External"/><Relationship Id="rIdrisclzy9az1vqcncv0jcd" Type="http://schemas.openxmlformats.org/officeDocument/2006/relationships/hyperlink" Target="https://trends.google.com/trends/explore?geo=TR&amp;q=motosiklet" TargetMode="External"/><Relationship Id="rIduenlml4y7ke50f_t8_atd" Type="http://schemas.openxmlformats.org/officeDocument/2006/relationships/hyperlink" Target="https://trends.google.com/trends/explore?geo=TR&amp;q=motor%20kask" TargetMode="External"/><Relationship Id="rIddky-nk8o8anxqly5aq7e4" Type="http://schemas.openxmlformats.org/officeDocument/2006/relationships/hyperlink" Target="https://trends.google.com/trends/explore?geo=TR&amp;q=moto%20kurye"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Ek-F Pazar Verileri ve Resmî Kaynak Dosyası</dc:title>
  <dc:creator>MotoMap</dc:creator>
  <cp:lastModifiedBy>Un-named</cp:lastModifiedBy>
  <cp:revision>1</cp:revision>
  <dcterms:created xsi:type="dcterms:W3CDTF">2026-09-30T16:41:28.794Z</dcterms:created>
  <dcterms:modified xsi:type="dcterms:W3CDTF">2026-09-30T16:41:28.795Z</dcterms:modified>
</cp:coreProperties>
</file>

<file path=docProps/custom.xml><?xml version="1.0" encoding="utf-8"?>
<Properties xmlns="http://schemas.openxmlformats.org/officeDocument/2006/custom-properties" xmlns:vt="http://schemas.openxmlformats.org/officeDocument/2006/docPropsVTypes"/>
</file>