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Ek-H</w:t>
      </w:r>
    </w:p>
    <w:p>
      <w:pPr>
        <w:spacing w:after="60"/>
      </w:pPr>
      <w:r>
        <w:rPr>
          <w:rFonts w:ascii="Arial" w:cs="Arial" w:eastAsia="Arial" w:hAnsi="Arial"/>
          <w:b/>
          <w:bCs/>
          <w:sz w:val="36"/>
          <w:szCs w:val="36"/>
        </w:rPr>
        <w:t xml:space="preserve">Kullanıcı İhtiyacı ve Nitel İçerik Analizi</w:t>
      </w:r>
    </w:p>
    <w:p>
      <w:pPr>
        <w:spacing w:after="160"/>
      </w:pPr>
      <w:r>
        <w:rPr>
          <w:rFonts w:ascii="Arial" w:cs="Arial" w:eastAsia="Arial" w:hAnsi="Arial"/>
          <w:color w:val="595959"/>
          <w:sz w:val="17"/>
          <w:szCs w:val="17"/>
        </w:rPr>
        <w:t xml:space="preserve">MotoMap · TÜBİTAK 1812 Yatırım Tabanlı Girişimcilik Destekleme Programı · AGY 112 İş Planı eki · Çağrı 1812-2026-2 · Düzenleme tarihi: 30.09.2026</w:t>
      </w:r>
    </w:p>
    <w:p>
      <w:pPr>
        <w:pStyle w:val="Heading1"/>
        <w:keepNext/>
        <w:spacing w:after="100" w:before="260"/>
      </w:pPr>
      <w:r>
        <w:rPr>
          <w:rFonts w:ascii="Arial" w:cs="Arial" w:eastAsia="Arial" w:hAnsi="Arial"/>
          <w:b/>
          <w:bCs/>
          <w:i w:val="false"/>
          <w:iCs w:val="false"/>
          <w:color w:val="000000"/>
          <w:sz w:val="26"/>
          <w:szCs w:val="26"/>
        </w:rPr>
        <w:t xml:space="preserve">H.1 Amaç ve kapsam</w:t>
      </w:r>
    </w:p>
    <w:p>
      <w:pPr>
        <w:spacing w:after="90"/>
      </w:pPr>
      <w:r>
        <w:rPr>
          <w:rFonts w:ascii="Arial" w:cs="Arial" w:eastAsia="Arial" w:hAnsi="Arial"/>
          <w:sz w:val="18"/>
          <w:szCs w:val="18"/>
        </w:rPr>
        <w:t xml:space="preserve">Bu ek, İş Planı 1.1, 1.3 ve 2.1'deki müşteri ihtiyacı tespitlerinin dayanağını göstermek amacıyla hazırlanmıştır. Ekte, 2023–2026 döneminde yayımlanmış kamuya açık Türkçe içeriklerin önceden yazılmış bir kod şemasıyla incelendiği nitel içerik analizi (netnografi) sunulmaktadır. On üç akıştan 2.599 öğe kodlanmış, bunların 1.870'i dahil etme ölçütlerini karşılamıştır. Veri 23 Eylül 2026'da toplanmış ve aynı gün kodlanmıştır.</w:t>
      </w:r>
    </w:p>
    <w:p>
      <w:pPr>
        <w:spacing w:after="90"/>
      </w:pPr>
      <w:r>
        <w:rPr>
          <w:rFonts w:ascii="Arial" w:cs="Arial" w:eastAsia="Arial" w:hAnsi="Arial"/>
          <w:sz w:val="18"/>
          <w:szCs w:val="18"/>
        </w:rPr>
        <w:t xml:space="preserve">Bulgular iki sınır içinde okunmalıdır. Birincisi, tablolardaki sıklıklar içerik yazanların dağılımını gösterir; sürücüler ve kuryeler arasındaki yaygınlığı göstermez. İkincisi, kodlama yapay zekâ destekli tek kodlayıcıyla yapılmıştır ve kodlayıcılar arası uyum henüz ölçülmemiştir (H.3.6). Keşif görüşmeleri, anket ve kurye ölçüm pilotu bu ekin kapsamı dışındadır; bunların planı ve araçları Ek-K'de, Haziran 2026'da yapılan 12 yanıtlı ön anketin özeti Ek-K.1'de yer almaktadır.</w:t>
      </w:r>
    </w:p>
    <w:p>
      <w:pPr>
        <w:keepNext/>
        <w:spacing w:after="60" w:before="140"/>
      </w:pPr>
      <w:r>
        <w:rPr>
          <w:rFonts w:ascii="Arial" w:cs="Arial" w:eastAsia="Arial" w:hAnsi="Arial"/>
          <w:b/>
          <w:bCs/>
          <w:sz w:val="18"/>
          <w:szCs w:val="18"/>
        </w:rPr>
        <w:t xml:space="preserve">Tablo H-1. Ekin gösterdiği ve göstermediği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5"/>
        <w:gridCol w:w="3962"/>
        <w:gridCol w:w="3369"/>
      </w:tblGrid>
      <w:tr>
        <w:trPr>
          <w:cantSplit/>
          <w:tblHeader/>
        </w:trPr>
        <w:tc>
          <w:tcPr>
            <w:tcW w:type="dxa" w:w="25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Konu</w:t>
            </w:r>
          </w:p>
        </w:tc>
        <w:tc>
          <w:tcPr>
            <w:tcW w:type="dxa" w:w="39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Ekteki kanıt</w:t>
            </w:r>
          </w:p>
        </w:tc>
        <w:tc>
          <w:tcPr>
            <w:tcW w:type="dxa" w:w="336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Sınır</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Dile getirilen şikâyet ve ihtiyaç konuları</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Akış başına tema sıklıkları, örnekler ve karşı kanıtlar (H.4, H.5)</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Yazanların dağılımıdır; yaygınlık tahmini değildir</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Şikâyetlerin kullanıcılar arasındaki yaygınlığı</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 analizde ölçülmemiştir</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Anket ve görüşmelerle ölçülecektir (Ek-K)</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isteği</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Yalnız yön ve yorumlarda geçen fiyatlar (H.5.5)</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Anket ve ödeme duvarı deneyleriyle ölçülecektir (İş Planı 2.3)</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Kodlamanın güvenilirliği</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Yöntem ve çift kodlama planı (H.3.6)</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Kodlayıcılar arası uyum henüz ölçülmemiştir</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işletmesinin gereksinimleri</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Dolaylı işaretler</w:t>
            </w:r>
          </w:p>
        </w:tc>
        <w:tc>
          <w:tcPr>
            <w:tcW w:type="dxa" w:w="33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Kamuya açık içerikte işletme yöneticisinin yazdığı öğe sayısı 7'dir; asıl kanıt keşif görüşmeleridir (Ek-K)</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H.2 Özet</w:t>
      </w:r>
    </w:p>
    <w:p>
      <w:pPr>
        <w:pStyle w:val="ListParagraph"/>
        <w:numPr>
          <w:ilvl w:val="0"/>
          <w:numId w:val="2"/>
        </w:numPr>
        <w:spacing w:after="50"/>
      </w:pPr>
      <w:r>
        <w:rPr>
          <w:rFonts w:ascii="Arial" w:cs="Arial" w:eastAsia="Arial" w:hAnsi="Arial"/>
          <w:b/>
          <w:bCs/>
          <w:sz w:val="18"/>
          <w:szCs w:val="18"/>
        </w:rPr>
        <w:t xml:space="preserve">Sürücü.</w:t>
      </w:r>
      <w:r>
        <w:rPr>
          <w:rFonts w:ascii="Arial" w:cs="Arial" w:eastAsia="Arial" w:hAnsi="Arial"/>
          <w:sz w:val="18"/>
          <w:szCs w:val="18"/>
        </w:rPr>
        <w:t xml:space="preserve"> Genel navigasyon uygulamalarına yazılmış ve motosikletten söz eden 52 sürücü yorumunun 39'unda (%75,0) otomobil mantığı teması geçmektedir: motosiklet seçeneğinin bulunmaması, trafikten kaçmak için uzun dolambaç ya da uymayan süre. Açık motosiklet seçeneği talebi 33 yorumda (%63,5) yer almaktadır. Süreyi doğrudan eleştiren yorum sayısı 2'dir; süre sapması daha çok rota ve seçenek şikâyetinin içinde anlatılmaktadır.</w:t>
      </w:r>
    </w:p>
    <w:p>
      <w:pPr>
        <w:pStyle w:val="ListParagraph"/>
        <w:numPr>
          <w:ilvl w:val="0"/>
          <w:numId w:val="2"/>
        </w:numPr>
        <w:spacing w:after="50"/>
      </w:pPr>
      <w:r>
        <w:rPr>
          <w:rFonts w:ascii="Arial" w:cs="Arial" w:eastAsia="Arial" w:hAnsi="Arial"/>
          <w:b/>
          <w:bCs/>
          <w:sz w:val="18"/>
          <w:szCs w:val="18"/>
        </w:rPr>
        <w:t xml:space="preserve">Süre iki yönde sapmaktadır.</w:t>
      </w:r>
      <w:r>
        <w:rPr>
          <w:rFonts w:ascii="Arial" w:cs="Arial" w:eastAsia="Arial" w:hAnsi="Arial"/>
          <w:sz w:val="18"/>
          <w:szCs w:val="18"/>
        </w:rPr>
        <w:t xml:space="preserve"> Kentte sıkışıklıkta gösterilen süre motosiklet için uzun kalmakta, açık yolda küçük hacimli motosiklet için kısa kalmaktadır. İş Planı 1.1 ve 1.3'teki iki yönlü sapma ifadesi bu anlatımlara dayanır.</w:t>
      </w:r>
    </w:p>
    <w:p>
      <w:pPr>
        <w:pStyle w:val="ListParagraph"/>
        <w:numPr>
          <w:ilvl w:val="0"/>
          <w:numId w:val="2"/>
        </w:numPr>
        <w:spacing w:after="50"/>
      </w:pPr>
      <w:r>
        <w:rPr>
          <w:rFonts w:ascii="Arial" w:cs="Arial" w:eastAsia="Arial" w:hAnsi="Arial"/>
          <w:b/>
          <w:bCs/>
          <w:sz w:val="18"/>
          <w:szCs w:val="18"/>
        </w:rPr>
        <w:t xml:space="preserve">Sürüşte kullanım.</w:t>
      </w:r>
      <w:r>
        <w:rPr>
          <w:rFonts w:ascii="Arial" w:cs="Arial" w:eastAsia="Arial" w:hAnsi="Arial"/>
          <w:sz w:val="18"/>
          <w:szCs w:val="18"/>
        </w:rPr>
        <w:t xml:space="preserve"> Eldivenle kullanılamayan düğmeler, sorulmadan kabul edilen "daha kısa rota" önerileri, interkom kopmaları ve güneşte okunmayan ekran, sürücü yorumlarının 15/52'sinde (%28,8) ve forum iletilerinin 61/197'sinde (%31,0) geçmektedir.</w:t>
      </w:r>
    </w:p>
    <w:p>
      <w:pPr>
        <w:pStyle w:val="ListParagraph"/>
        <w:numPr>
          <w:ilvl w:val="0"/>
          <w:numId w:val="2"/>
        </w:numPr>
        <w:spacing w:after="50"/>
      </w:pPr>
      <w:r>
        <w:rPr>
          <w:rFonts w:ascii="Arial" w:cs="Arial" w:eastAsia="Arial" w:hAnsi="Arial"/>
          <w:b/>
          <w:bCs/>
          <w:sz w:val="18"/>
          <w:szCs w:val="18"/>
        </w:rPr>
        <w:t xml:space="preserve">Kurye.</w:t>
      </w:r>
      <w:r>
        <w:rPr>
          <w:rFonts w:ascii="Arial" w:cs="Arial" w:eastAsia="Arial" w:hAnsi="Arial"/>
          <w:sz w:val="18"/>
          <w:szCs w:val="18"/>
        </w:rPr>
        <w:t xml:space="preserve"> Kurye uygulamalarına yazılmış rastgele 260 kurye yorumunda en sık temalar uygulama arızası (148; %56,9), ceza, hesap kapatma ve algoritmik yönetim (73; %28,1) ile kazançtır (60; %23,1). Sıra ya da mesafe 42 yorumda (%16,2), navigasyon şikâyeti 9 yorumda (%3,5) geçmektedir.</w:t>
      </w:r>
    </w:p>
    <w:p>
      <w:pPr>
        <w:pStyle w:val="ListParagraph"/>
        <w:numPr>
          <w:ilvl w:val="0"/>
          <w:numId w:val="2"/>
        </w:numPr>
        <w:spacing w:after="50"/>
      </w:pPr>
      <w:r>
        <w:rPr>
          <w:rFonts w:ascii="Arial" w:cs="Arial" w:eastAsia="Arial" w:hAnsi="Arial"/>
          <w:b/>
          <w:bCs/>
          <w:sz w:val="18"/>
          <w:szCs w:val="18"/>
        </w:rPr>
        <w:t xml:space="preserve">Çok duraklı kargo, evrak ve eczane kuryesi.</w:t>
      </w:r>
      <w:r>
        <w:rPr>
          <w:rFonts w:ascii="Arial" w:cs="Arial" w:eastAsia="Arial" w:hAnsi="Arial"/>
          <w:sz w:val="18"/>
          <w:szCs w:val="18"/>
        </w:rPr>
        <w:t xml:space="preserve"> Turunu kendisi kuran kuryelerin anlatımlarında durak sırası işin merkezindedir; YouTube akışında kurye yazarlı öğelerin %34,3'ü (GA 24,1–46,3) sırayı konu etmektedir.</w:t>
      </w:r>
    </w:p>
    <w:p>
      <w:pPr>
        <w:pStyle w:val="ListParagraph"/>
        <w:numPr>
          <w:ilvl w:val="0"/>
          <w:numId w:val="2"/>
        </w:numPr>
        <w:spacing w:after="50"/>
      </w:pPr>
      <w:r>
        <w:rPr>
          <w:rFonts w:ascii="Arial" w:cs="Arial" w:eastAsia="Arial" w:hAnsi="Arial"/>
          <w:b/>
          <w:bCs/>
          <w:sz w:val="18"/>
          <w:szCs w:val="18"/>
        </w:rPr>
        <w:t xml:space="preserve">Karşı kanıt.</w:t>
      </w:r>
      <w:r>
        <w:rPr>
          <w:rFonts w:ascii="Arial" w:cs="Arial" w:eastAsia="Arial" w:hAnsi="Arial"/>
          <w:sz w:val="18"/>
          <w:szCs w:val="18"/>
        </w:rPr>
        <w:t xml:space="preserve"> Genel navigasyon uygulamalarına yorum yazan 64 kuryenin 31'i (%48,4) mevcut uygulamadan memnuniyet bildirmektedir; memnuniyet özellikle adres ve bina girişi ayrıntısında yoğunlaşmaktadır. MotoMap bu nedenle adres bulmada rekabet etmez (İş Planı 2.1).</w:t>
      </w:r>
    </w:p>
    <w:p>
      <w:pPr>
        <w:pStyle w:val="Heading1"/>
        <w:keepNext/>
        <w:spacing w:after="100" w:before="260"/>
      </w:pPr>
      <w:r>
        <w:rPr>
          <w:rFonts w:ascii="Arial" w:cs="Arial" w:eastAsia="Arial" w:hAnsi="Arial"/>
          <w:b/>
          <w:bCs/>
          <w:i w:val="false"/>
          <w:iCs w:val="false"/>
          <w:color w:val="000000"/>
          <w:sz w:val="26"/>
          <w:szCs w:val="26"/>
        </w:rPr>
        <w:t xml:space="preserve">H.3 Yöntem</w:t>
      </w:r>
    </w:p>
    <w:p>
      <w:pPr>
        <w:pStyle w:val="Heading2"/>
        <w:keepNext/>
        <w:spacing w:after="80" w:before="180"/>
      </w:pPr>
      <w:r>
        <w:rPr>
          <w:rFonts w:ascii="Arial" w:cs="Arial" w:eastAsia="Arial" w:hAnsi="Arial"/>
          <w:b/>
          <w:bCs/>
          <w:i w:val="false"/>
          <w:iCs w:val="false"/>
          <w:color w:val="000000"/>
          <w:sz w:val="21"/>
          <w:szCs w:val="21"/>
        </w:rPr>
        <w:t xml:space="preserve">H.3.1 Yaklaşım ve araştırma soruları</w:t>
      </w:r>
    </w:p>
    <w:p>
      <w:pPr>
        <w:spacing w:after="90"/>
      </w:pPr>
      <w:r>
        <w:rPr>
          <w:rFonts w:ascii="Arial" w:cs="Arial" w:eastAsia="Arial" w:hAnsi="Arial"/>
          <w:sz w:val="18"/>
          <w:szCs w:val="18"/>
        </w:rPr>
        <w:t xml:space="preserve">Çalışma pasif ve gözlemseldir. Yalnız herkese açık, oturum açmadan okunabilen içerik okunmuş; hiçbir kullanıcıyla temas kurulmamış, hiçbir gruba üye olunmamış ve hiçbir yere ileti yazılmamıştır. Giriş gerektiren kapalı gruplar (Facebook, WhatsApp, Telegram) kapsam dışıdır. Çalışma, netnografinin yalnız hazır içeriğin toplandığı araştırma aşamasını kullanmıştır; katılım ve daldırma günlüğü aşamaları uygulanmamıştır (Kozinets, 2020). Analiz, kodların önceki varsayımlardan türetildiği yönlendirilmiş nitel içerik analizidir (Hsieh ve Shannon, 2005; Mayring, 2014). Her öğe, önceden yazılmış kod şemasına göre birden çok kod alabilecek biçimde kodlanmıştır.</w:t>
      </w:r>
    </w:p>
    <w:p>
      <w:pPr>
        <w:spacing w:after="90"/>
      </w:pPr>
      <w:r>
        <w:rPr>
          <w:rFonts w:ascii="Arial" w:cs="Arial" w:eastAsia="Arial" w:hAnsi="Arial"/>
          <w:sz w:val="18"/>
          <w:szCs w:val="18"/>
        </w:rPr>
        <w:t xml:space="preserve">Araştırma soruları şunlardır:</w:t>
      </w:r>
    </w:p>
    <w:p>
      <w:pPr>
        <w:pStyle w:val="ListParagraph"/>
        <w:numPr>
          <w:ilvl w:val="0"/>
          <w:numId w:val="3"/>
        </w:numPr>
        <w:spacing w:after="50"/>
      </w:pPr>
      <w:r>
        <w:rPr>
          <w:rFonts w:ascii="Arial" w:cs="Arial" w:eastAsia="Arial" w:hAnsi="Arial"/>
          <w:sz w:val="18"/>
          <w:szCs w:val="18"/>
        </w:rPr>
        <w:t xml:space="preserve">Motosiklet sürücülerinin genel navigasyon uygulamalarında anlattığı sorunlar ve varış süresinin bu sorunlar arasındaki yeri.</w:t>
      </w:r>
    </w:p>
    <w:p>
      <w:pPr>
        <w:pStyle w:val="ListParagraph"/>
        <w:numPr>
          <w:ilvl w:val="0"/>
          <w:numId w:val="3"/>
        </w:numPr>
        <w:spacing w:after="50"/>
      </w:pPr>
      <w:r>
        <w:rPr>
          <w:rFonts w:ascii="Arial" w:cs="Arial" w:eastAsia="Arial" w:hAnsi="Arial"/>
          <w:sz w:val="18"/>
          <w:szCs w:val="18"/>
        </w:rPr>
        <w:t xml:space="preserve">Kuryelerin işlerinde anlattığı sorunlar ve sıra, mesafe ve navigasyonun bu sorunlar arasındaki yeri.</w:t>
      </w:r>
    </w:p>
    <w:p>
      <w:pPr>
        <w:pStyle w:val="ListParagraph"/>
        <w:numPr>
          <w:ilvl w:val="0"/>
          <w:numId w:val="3"/>
        </w:numPr>
        <w:spacing w:after="50"/>
      </w:pPr>
      <w:r>
        <w:rPr>
          <w:rFonts w:ascii="Arial" w:cs="Arial" w:eastAsia="Arial" w:hAnsi="Arial"/>
          <w:sz w:val="18"/>
          <w:szCs w:val="18"/>
        </w:rPr>
        <w:t xml:space="preserve">Motosiklete özgü ve çok duraklı rota uygulamalarının kullanıcılarının eleştirdiği ve övdüğü yönler.</w:t>
      </w:r>
    </w:p>
    <w:p>
      <w:pPr>
        <w:pStyle w:val="ListParagraph"/>
        <w:numPr>
          <w:ilvl w:val="0"/>
          <w:numId w:val="3"/>
        </w:numPr>
        <w:spacing w:after="50"/>
      </w:pPr>
      <w:r>
        <w:rPr>
          <w:rFonts w:ascii="Arial" w:cs="Arial" w:eastAsia="Arial" w:hAnsi="Arial"/>
          <w:sz w:val="18"/>
          <w:szCs w:val="18"/>
        </w:rPr>
        <w:t xml:space="preserve">Fiyat ve ödeme isteğine ilişkin işaretler.</w:t>
      </w:r>
    </w:p>
    <w:p>
      <w:pPr>
        <w:pStyle w:val="ListParagraph"/>
        <w:numPr>
          <w:ilvl w:val="0"/>
          <w:numId w:val="3"/>
        </w:numPr>
        <w:spacing w:after="50"/>
      </w:pPr>
      <w:r>
        <w:rPr>
          <w:rFonts w:ascii="Arial" w:cs="Arial" w:eastAsia="Arial" w:hAnsi="Arial"/>
          <w:sz w:val="18"/>
          <w:szCs w:val="18"/>
        </w:rPr>
        <w:t xml:space="preserve">MotoMap'in varsayımlarını zayıflatan bulgular (karşı kanıt).</w:t>
      </w:r>
    </w:p>
    <w:p>
      <w:pPr>
        <w:pStyle w:val="Heading2"/>
        <w:keepNext/>
        <w:spacing w:after="80" w:before="180"/>
      </w:pPr>
      <w:r>
        <w:rPr>
          <w:rFonts w:ascii="Arial" w:cs="Arial" w:eastAsia="Arial" w:hAnsi="Arial"/>
          <w:b/>
          <w:bCs/>
          <w:i w:val="false"/>
          <w:iCs w:val="false"/>
          <w:color w:val="000000"/>
          <w:sz w:val="21"/>
          <w:szCs w:val="21"/>
        </w:rPr>
        <w:t xml:space="preserve">H.3.2 Veri kaynakları, tarih aralığı ve örneklem</w:t>
      </w:r>
    </w:p>
    <w:p>
      <w:pPr>
        <w:spacing w:after="90"/>
      </w:pPr>
      <w:r>
        <w:rPr>
          <w:rFonts w:ascii="Arial" w:cs="Arial" w:eastAsia="Arial" w:hAnsi="Arial"/>
          <w:sz w:val="18"/>
          <w:szCs w:val="18"/>
        </w:rPr>
        <w:t xml:space="preserve">Toplama tarihi 23 Eylül 2026'dır. Tarih süzgeci 1 Ocak 2023 ve sonrasıdır. motosiklet.net forumundaki ilgili başlıklar birkaç yıllık olduğundan bu kaynakta 2019 ve sonrası alınmıştır; dahil edilen 197 forum iletisinin 148'i 2025–2026, 26'sı 2023–2024, 23'ü 2019–2021 tarihlidir. Şikâyet sitesinden dahil edilen 152 öğenin 104'ünde tarih okunamamıştır; bu öğelerin bağlantıları tarihli sayfaya yönlenmemektedir. YouTube yorumlarının tarihi, platformun göreli gösteriminden ("1 yıl önce" gibi) türetildiği için yaklaşıktır.</w:t>
      </w:r>
    </w:p>
    <w:p>
      <w:pPr>
        <w:spacing w:after="90"/>
      </w:pPr>
      <w:r>
        <w:rPr>
          <w:rFonts w:ascii="Arial" w:cs="Arial" w:eastAsia="Arial" w:hAnsi="Arial"/>
          <w:sz w:val="18"/>
          <w:szCs w:val="18"/>
        </w:rPr>
        <w:t xml:space="preserve">Küçük akışlar tamamen, büyük akışlar sabit tohumla (20260923) basit rastgele örneklemle kodlanmıştır. S3N akışı bilinçli olarak hedeflidir: Rastgele örneklemin dışında kalan ve navigasyon, adres, km ya da sıra sözcüğü geçen yorumların tamamıdır. Bu akış navigasyon şikâyetinin içeriğini gösterir, yaygınlığını göstermez; kurye tarafında yaygınlık için rastgele S3R akışı kullanılır.</w:t>
      </w:r>
    </w:p>
    <w:p>
      <w:pPr>
        <w:keepNext/>
        <w:spacing w:after="60" w:before="140"/>
      </w:pPr>
      <w:r>
        <w:rPr>
          <w:rFonts w:ascii="Arial" w:cs="Arial" w:eastAsia="Arial" w:hAnsi="Arial"/>
          <w:b/>
          <w:bCs/>
          <w:sz w:val="18"/>
          <w:szCs w:val="18"/>
        </w:rPr>
        <w:t xml:space="preserve">Tablo H-2. Akışlar, seçim ve öğe sayıları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3"/>
        <w:gridCol w:w="3268"/>
        <w:gridCol w:w="3962"/>
        <w:gridCol w:w="990"/>
        <w:gridCol w:w="993"/>
      </w:tblGrid>
      <w:tr>
        <w:trPr>
          <w:cantSplit/>
          <w:tblHeader/>
        </w:trPr>
        <w:tc>
          <w:tcPr>
            <w:tcW w:type="dxa" w:w="6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Akış</w:t>
            </w:r>
          </w:p>
        </w:tc>
        <w:tc>
          <w:tcPr>
            <w:tcW w:type="dxa" w:w="32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 ve kapsam</w:t>
            </w:r>
          </w:p>
        </w:tc>
        <w:tc>
          <w:tcPr>
            <w:tcW w:type="dxa" w:w="39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Evren ve seçim</w:t>
            </w:r>
          </w:p>
        </w:tc>
        <w:tc>
          <w:tcPr>
            <w:tcW w:type="dxa" w:w="9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Kodlanan</w:t>
            </w:r>
          </w:p>
        </w:tc>
        <w:tc>
          <w:tcPr>
            <w:tcW w:type="dxa" w:w="9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Dahil</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Genel navigasyon uygulamaları: Google Haritalar, Yandex Navigator, Yandex Maps, Waze (Google Play Türkiye); Yandex Maps, Waze, Sygic (App Store Türkiye)</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74.067 yorum; 2023 ve sonrası 28.666; motosiklet ya da kurye sözcüğü geçen 171 yorumun tamamı</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171</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137</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S2</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 uygulamaları: calimoto, Kurviger, REVER, Scenic, Riser, MotoAtlas, Motoseyir ve diğerleri</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2023 ve sonrası, en az 5 sözcük: 349 yorumun tamamı</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349</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285</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S3R</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 kurye uygulaması (yemek ve market platformları, kurye firmaları)</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2023 ve sonrası, en az 5 sözcük: 2.136 yorum içinden rastgele 300</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267</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S3N</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kurye uygulamaları, hedefli</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Rastgele örneklem dışında kalan ve navigasyon, adres, km ya da sıra sözcüğü geçen 309 yorumun tamamı</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309</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302</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Çok duraklı rota planlayıcılar: Routin, Routingo, Zeo, Spoke ve diğerleri</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2023 ve sonrası 248 yorum; kurye, kargo, durak, sıra, adres ya da rota sözcüğü geçen 94 yorumun tamamı</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94</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87</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S5K</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Ekşi Sözlük, kurye işiyle ilgili 14 başlık</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2023 ve sonrası 466 giri içinden rastgele 250</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250</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126</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S5N</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Ekşi Sözlük, navigasyon başlıkları</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 sözcüğü geçen 2023 ve sonrası 4 giri</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S5R</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Ekşi Sözlük, motosiklet sürücüsü başlıkları</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Navigasyon, trafik, şerit ya da kaza sözcüğü geçen 148 giri</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148</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118</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Reddit, Türkçe alt forumlar</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1.185 öğe; Türkçe, 2023 ve sonrası, en az 8 sözcük ve konu sözcüğü geçen 527 öğe içinden rastgele 150</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65</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S7</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YouTube yorumları, 24 video</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5.131 yorum; 2023 ve sonrası, en az 6 sözcük ve konu sözcüğü geçen 908 yorum içinden rastgele 260</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260</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130</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S8K</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Şikâyetvar, kurye ağzından yazılmış şikâyetler</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485 kart içinden kurye ağzından yazılmış 166 şikâyetin tamamı</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166</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138</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S8N</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Şikâyetvar, Yandex marka sayfası</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427 kart içinden navigasyon ya da harita sözcüğü geçen 32 şikâyet</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S9</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motosiklet.net forumu</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34 başlıkta 848 ileti; navigasyon, uygulama, telefon ve kurye başlıklarındaki 306 iletinin tamamı ile trafik kuralı başlıklarındaki 265 iletiden rastgele 60</w:t>
            </w: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366</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197</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Toplam</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2.599</w:t>
            </w:r>
          </w:p>
        </w:tc>
        <w:tc>
          <w:tcPr>
            <w:tcW w:type="dxa" w:w="9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1.870</w:t>
            </w:r>
          </w:p>
        </w:tc>
      </w:tr>
    </w:tbl>
    <w:p>
      <w:pPr>
        <w:spacing w:after="60"/>
      </w:pPr>
    </w:p>
    <w:p>
      <w:pPr>
        <w:spacing w:after="100" w:before="40"/>
      </w:pPr>
      <w:r>
        <w:rPr>
          <w:rFonts w:ascii="Arial" w:cs="Arial" w:eastAsia="Arial" w:hAnsi="Arial"/>
          <w:i/>
          <w:iCs/>
          <w:color w:val="595959"/>
          <w:sz w:val="16"/>
          <w:szCs w:val="16"/>
        </w:rPr>
        <w:t xml:space="preserve">Not: Sorgular, başlıklar, uygulama paket adları ve video kimlikleri H.8'dedir.</w:t>
      </w:r>
    </w:p>
    <w:p>
      <w:pPr>
        <w:pStyle w:val="Heading2"/>
        <w:keepNext/>
        <w:spacing w:after="80" w:before="180"/>
      </w:pPr>
      <w:r>
        <w:rPr>
          <w:rFonts w:ascii="Arial" w:cs="Arial" w:eastAsia="Arial" w:hAnsi="Arial"/>
          <w:b/>
          <w:bCs/>
          <w:i w:val="false"/>
          <w:iCs w:val="false"/>
          <w:color w:val="000000"/>
          <w:sz w:val="21"/>
          <w:szCs w:val="21"/>
        </w:rPr>
        <w:t xml:space="preserve">H.3.3 Dahil etme, dışlama ve tekrar temizliği</w:t>
      </w:r>
    </w:p>
    <w:p>
      <w:pPr>
        <w:spacing w:after="90"/>
      </w:pPr>
      <w:r>
        <w:rPr>
          <w:rFonts w:ascii="Arial" w:cs="Arial" w:eastAsia="Arial" w:hAnsi="Arial"/>
          <w:sz w:val="18"/>
          <w:szCs w:val="18"/>
        </w:rPr>
        <w:t xml:space="preserve">Bir öğe şu koşulda dahil edilmiştir: Öğe Türkçedir ve motosiklet sürüşü, kurye işi, rota ya da durak planlaması veya bu işler için kullanılan uygulamalar hakkında bir deneyim, ihtiyaç, şikâyet, övgü ya da görüş içermektedir. Dışlanan öğe türleri şunlardır: konu dışı içerik (yalnız otomobil ya da ilgisiz konu), içeriksiz öğe (yalnız puan ya da tek sözcük), anlaşılmaz metin, reklam, tekrar ve bağlamdan kopuk şaka. Her akışta kodlanan ve dahil edilen öğe sayıları arasındaki fark dışlanan öğelerdir; toplamda 729 öğe dışlanmıştır (Tablo H-2).</w:t>
      </w:r>
    </w:p>
    <w:p>
      <w:pPr>
        <w:spacing w:after="90"/>
      </w:pPr>
      <w:r>
        <w:rPr>
          <w:rFonts w:ascii="Arial" w:cs="Arial" w:eastAsia="Arial" w:hAnsi="Arial"/>
          <w:sz w:val="18"/>
          <w:szCs w:val="18"/>
        </w:rPr>
        <w:t xml:space="preserve">Mağaza yorumları, yorum kimliğinin tek yönlü özeti (SHA-256) ile kaydedilmiştir. İçeriği yinelenen öğeler kodlama sırasında "tekrar" gerekçesiyle dışlanmıştır. Akışlar farklı örnekleme çerçevelerinden geldiği için akışlar arasında toplama yapılmaz; bir tema için verilen sayı yalnız kendi akışında geçerlidir.</w:t>
      </w:r>
    </w:p>
    <w:p>
      <w:pPr>
        <w:pStyle w:val="Heading2"/>
        <w:keepNext/>
        <w:spacing w:after="80" w:before="180"/>
      </w:pPr>
      <w:r>
        <w:rPr>
          <w:rFonts w:ascii="Arial" w:cs="Arial" w:eastAsia="Arial" w:hAnsi="Arial"/>
          <w:b/>
          <w:bCs/>
          <w:i w:val="false"/>
          <w:iCs w:val="false"/>
          <w:color w:val="000000"/>
          <w:sz w:val="21"/>
          <w:szCs w:val="21"/>
        </w:rPr>
        <w:t xml:space="preserve">H.3.4 Sürücü ve kurye ayrımı</w:t>
      </w:r>
    </w:p>
    <w:p>
      <w:pPr>
        <w:spacing w:after="90"/>
      </w:pPr>
      <w:r>
        <w:rPr>
          <w:rFonts w:ascii="Arial" w:cs="Arial" w:eastAsia="Arial" w:hAnsi="Arial"/>
          <w:sz w:val="18"/>
          <w:szCs w:val="18"/>
        </w:rPr>
        <w:t xml:space="preserve">Her öğenin yazarı beş sınıftan birine atanmıştır: bireysel motosiklet sürücüsü; kurye (platform, esnaf, kargo, evrak, eczane); işletme ya da operasyon yöneticisi; gözlemci (otomobil sürücüsü, müşteri, kamuoyu); belirlenemeyen. Sınıf, öğenin kendi anlatımından (ör. "kuryeyim", "motorla işe gidiyorum", "filomuzda") belirlenmiştir. Sıklık tablolarında sürücü ve kurye yazarlı öğeler ayrı gösterilir. Örneğin S1 akışında dahil edilen 137 öğenin 52'si sürücü, 64'ü kurye yazarlıdır; kalan öğeler diğer sınıflardadır. Tüm akışlarda işletme ya da operasyon yöneticisi yazarlı öğe sayısı 7'dir.</w:t>
      </w:r>
    </w:p>
    <w:p>
      <w:pPr>
        <w:pStyle w:val="Heading2"/>
        <w:keepNext/>
        <w:spacing w:after="80" w:before="180"/>
      </w:pPr>
      <w:r>
        <w:rPr>
          <w:rFonts w:ascii="Arial" w:cs="Arial" w:eastAsia="Arial" w:hAnsi="Arial"/>
          <w:b/>
          <w:bCs/>
          <w:i w:val="false"/>
          <w:iCs w:val="false"/>
          <w:color w:val="000000"/>
          <w:sz w:val="21"/>
          <w:szCs w:val="21"/>
        </w:rPr>
        <w:t xml:space="preserve">H.3.5 Kod şeması</w:t>
      </w:r>
    </w:p>
    <w:p>
      <w:pPr>
        <w:spacing w:after="90"/>
      </w:pPr>
      <w:r>
        <w:rPr>
          <w:rFonts w:ascii="Arial" w:cs="Arial" w:eastAsia="Arial" w:hAnsi="Arial"/>
          <w:sz w:val="18"/>
          <w:szCs w:val="18"/>
        </w:rPr>
        <w:t xml:space="preserve">Kodlar veri toplanmadan önce MotoMap'in varsayımlarından (süre, mod, sıra, fiyat) ve kurye işine ilişkin bilinen temalardan türetilmiş, ilk 50 öğede sınanmış ve tanımlar bu sınamayla netleştirilmiştir. Bir öğe birden çok kod alabilir. N13 numarası kullanılmamıştır.</w:t>
      </w:r>
    </w:p>
    <w:p>
      <w:pPr>
        <w:keepNext/>
        <w:spacing w:after="60" w:before="140"/>
      </w:pPr>
      <w:r>
        <w:rPr>
          <w:rFonts w:ascii="Arial" w:cs="Arial" w:eastAsia="Arial" w:hAnsi="Arial"/>
          <w:b/>
          <w:bCs/>
          <w:sz w:val="18"/>
          <w:szCs w:val="18"/>
        </w:rPr>
        <w:t xml:space="preserve">Tablo H-3. Kod şeması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4160"/>
        <w:gridCol w:w="4954"/>
      </w:tblGrid>
      <w:tr>
        <w:trPr>
          <w:cantSplit/>
          <w:tblHeader/>
        </w:trPr>
        <w:tc>
          <w:tcPr>
            <w:tcW w:type="dxa" w:w="79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w:t>
            </w:r>
          </w:p>
        </w:tc>
        <w:tc>
          <w:tcPr>
            <w:tcW w:type="dxa" w:w="41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Tema</w:t>
            </w:r>
          </w:p>
        </w:tc>
        <w:tc>
          <w:tcPr>
            <w:tcW w:type="dxa" w:w="495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Karar kuralı (özet)</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N1</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Varış süresinin motosiklete uymaması ya da süre tahmininin hatalı olması</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 dakika ya da varış saati açıkça geçmelidir</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N2</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 (iki teker) seçeneğinin bulunmaması ya da istenmesi</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Araç seçeneği istenmesi ya da uygulamanın motosikleti otomobil, yaya veya bisiklet gibi ele aldığının belirtilmesi</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N3</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Motosiklete uygunsuz rota</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Motosiklete yasak tünel ya da otoyol, ücretli yol, toprak yol, merdiven, ters yön, çıkmaz sokak</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N4</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Genel rota kalitesi</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Dolaştırma, uzatma, kullanıcı tercihinin dikkate alınmaması, sorulmadan rota değiştirme</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N5</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Adres, konum ve harita verisi hatası</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Yanlış konum, eksik sokak, eski veri, kapalı yolun gösterilmemesi</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N6</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Sürüşte kullanım</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Eldiven ve dokunma, sesli yönlendirme, interkom, ekran okunurluğu, tutucu, pil ve ısınma</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N7</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Güvenlik</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Tehlikeli yol, çukur, kaza riski, hız sınırı ve radar</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N8</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Virajlı ya da manzaralı rota, tur planlama</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N9</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Fiyat, abonelik, ödeme</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Fiyatın olumlu ya da olumsuz her anılışı</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N10</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kararlılığı, bağlantı, konum sinyali</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Çökme, donma, bağlantı kopması</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N11</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Yakıt ve menzil</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N12</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 istatistik, topluluk, grup sürüşü</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N14</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Yoğun kullanımda kota ya da erişim kısıtı</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Ör. üçüncü taraf uygulamadan açılışa günlük sınır</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N15</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Türkçe dil ve ses desteği eksikliği</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N16</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Gizlilik, konum izni, veri kaygısı</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Sipariş ya da durak sırası, çoklu sipariş, rota planlama</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Birden çok durağın sırası, birleşik paket, sonraki adresin görünmemesi</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Zaman baskısı, gecikme, müşteri beklentisi</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Kazanç, paket ücreti, komisyon, hak ediş</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Mesafe ve km hesabı, uzak atama, köprü ve otoyol bedeli</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 yaralanma, ölüm, iş güvenliği, ağır yük</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ya da platform uygulamasının teknik sorunları</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kapatma, puan, ceza, algoritmik yönetim, destek</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Hava koşulları</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Giderler (yakıt, bakım, kira, vergi, belge)</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K10</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Uzun mesai ve yorgunluk</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Bekleme (restoran, müşteri, iş yokluğu)</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K12</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Mevzuat, belge, trafik cezası, giriş yasakları</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Toplumsal algı ve trafikte çatışma</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D1</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çözümden memnuniyet</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Karşı kanıt olarak ayrıca işaretlenir</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D2</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Ücretli uygulamaya açık itiraz</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Karşı kanıt</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M1</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Zaman kazanmak için motosiklete geçiş</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bl>
    <w:p>
      <w:pPr>
        <w:spacing w:after="60"/>
      </w:pPr>
    </w:p>
    <w:p>
      <w:pPr>
        <w:pStyle w:val="Heading2"/>
        <w:keepNext/>
        <w:spacing w:after="80" w:before="180"/>
      </w:pPr>
      <w:r>
        <w:rPr>
          <w:rFonts w:ascii="Arial" w:cs="Arial" w:eastAsia="Arial" w:hAnsi="Arial"/>
          <w:b/>
          <w:bCs/>
          <w:i w:val="false"/>
          <w:iCs w:val="false"/>
          <w:color w:val="000000"/>
          <w:sz w:val="21"/>
          <w:szCs w:val="21"/>
        </w:rPr>
        <w:t xml:space="preserve">H.3.6 Kodlama süreci, güvenilirlik ve çift kodlama</w:t>
      </w:r>
    </w:p>
    <w:p>
      <w:pPr>
        <w:spacing w:after="90"/>
      </w:pPr>
      <w:r>
        <w:rPr>
          <w:rFonts w:ascii="Arial" w:cs="Arial" w:eastAsia="Arial" w:hAnsi="Arial"/>
          <w:sz w:val="18"/>
          <w:szCs w:val="18"/>
        </w:rPr>
        <w:t xml:space="preserve">Kodlama yapay zekâ destekli tek kodlayıcıyla yapılmıştır. Ekibin yönettiği bir yapay zekâ analiz aracı her öğenin tam metnini okumuş, öğeyi kod şemasıyla tek geçişte kodlamış ve alıntıya değer bulunan 300 öğe için kişiyi tanınmaz kılacak biçimde yeniden yazılmış bir özet (parafraz) üretmiştir. Büyük dil modelleriyle yapılan kodlamanın insan kodlayıcıyla uyumu göreve ve veri setine göre değişmektedir (Gilardi vd., 2023; Pangakis vd., 2023; Ziems vd., 2024); yayında insan etiketli örnekleme karşı doğrulama temel gereklilik olarak önerilmektedir (Törnberg, 2024). Bu nedenle insan ikinci kodlayıcıyla uyum ölçümü planlanmıştır; ölçüm henüz yapılmamıştır.</w:t>
      </w:r>
    </w:p>
    <w:p>
      <w:pPr>
        <w:spacing w:after="90"/>
      </w:pPr>
      <w:r>
        <w:rPr>
          <w:rFonts w:ascii="Arial" w:cs="Arial" w:eastAsia="Arial" w:hAnsi="Arial"/>
          <w:sz w:val="18"/>
          <w:szCs w:val="18"/>
        </w:rPr>
        <w:t xml:space="preserve">Tek kodlayıcının tutarlı bir eğilimi bulunabilir (ör. "motor" sözcüğü geçen her yorumun motosiklet sayılması). Bu eğilim dışlama kararlarında sınırlanmaya çalışılmıştır; eğilimi ölçen yöntem çift kodlamadır.</w:t>
      </w:r>
    </w:p>
    <w:p>
      <w:pPr>
        <w:pStyle w:val="ListParagraph"/>
        <w:numPr>
          <w:ilvl w:val="0"/>
          <w:numId w:val="2"/>
        </w:numPr>
        <w:spacing w:after="50"/>
      </w:pPr>
      <w:r>
        <w:rPr>
          <w:rFonts w:ascii="Arial" w:cs="Arial" w:eastAsia="Arial" w:hAnsi="Arial"/>
          <w:b/>
          <w:bCs/>
          <w:sz w:val="18"/>
          <w:szCs w:val="18"/>
        </w:rPr>
        <w:t xml:space="preserve">Örneklem.</w:t>
      </w:r>
      <w:r>
        <w:rPr>
          <w:rFonts w:ascii="Arial" w:cs="Arial" w:eastAsia="Arial" w:hAnsi="Arial"/>
          <w:sz w:val="18"/>
          <w:szCs w:val="18"/>
        </w:rPr>
        <w:t xml:space="preserve"> Kodlanan 2.599 öğeden her akışın %10'u (en az 3 öğe) sabit tohumla seçilmiştir; örneklem 263 öğedir (%10,1). Uyum ölçümünde tipik alt örneklem büyüklüğü verinin %10–25'idir (O'Connor ve Joffe, 2020); bu örneklem aralığın alt ucundadır. Satırlar karıştırılmıştır; ilk 130 satır tek başına yaklaşık %5'lik rastgele bir alt örneklemdir.</w:t>
      </w:r>
    </w:p>
    <w:p>
      <w:pPr>
        <w:pStyle w:val="ListParagraph"/>
        <w:numPr>
          <w:ilvl w:val="0"/>
          <w:numId w:val="2"/>
        </w:numPr>
        <w:spacing w:after="50"/>
      </w:pPr>
      <w:r>
        <w:rPr>
          <w:rFonts w:ascii="Arial" w:cs="Arial" w:eastAsia="Arial" w:hAnsi="Arial"/>
          <w:b/>
          <w:bCs/>
          <w:sz w:val="18"/>
          <w:szCs w:val="18"/>
        </w:rPr>
        <w:t xml:space="preserve">Yöntem.</w:t>
      </w:r>
      <w:r>
        <w:rPr>
          <w:rFonts w:ascii="Arial" w:cs="Arial" w:eastAsia="Arial" w:hAnsi="Arial"/>
          <w:sz w:val="18"/>
          <w:szCs w:val="18"/>
        </w:rPr>
        <w:t xml:space="preserve"> Bir kurucu, ilk kodlamayı görmeden her öğe için "dahil ya da dışla" kararını ve kodları yazar. Dahil etme kararı ve her kod için Cohen'in kappa katsayısı hesaplanır.</w:t>
      </w:r>
    </w:p>
    <w:p>
      <w:pPr>
        <w:pStyle w:val="ListParagraph"/>
        <w:numPr>
          <w:ilvl w:val="0"/>
          <w:numId w:val="2"/>
        </w:numPr>
        <w:spacing w:after="50"/>
      </w:pPr>
      <w:r>
        <w:rPr>
          <w:rFonts w:ascii="Arial" w:cs="Arial" w:eastAsia="Arial" w:hAnsi="Arial"/>
          <w:b/>
          <w:bCs/>
          <w:sz w:val="18"/>
          <w:szCs w:val="18"/>
        </w:rPr>
        <w:t xml:space="preserve">Karar kuralı.</w:t>
      </w:r>
      <w:r>
        <w:rPr>
          <w:rFonts w:ascii="Arial" w:cs="Arial" w:eastAsia="Arial" w:hAnsi="Arial"/>
          <w:sz w:val="18"/>
          <w:szCs w:val="18"/>
        </w:rPr>
        <w:t xml:space="preserve"> Dahil etme kararında ve en sık kullanılan on kodda kappa en az 0,61 ise H.4'teki oranlar güven aralıklarıyla birlikte oran olarak kullanılabilir. Aksi hâlde oranlar yalnız sıralama (yön) olarak okunur ve uyumu düşük kodlar ayrıca belirtilir. Landis ve Koch'un (1977) sınıflamasında 0,41–0,60 "orta", 0,61–0,80 "önemli düzeyde" uyumdur; eşik ikinci sınıfın alt sınırıdır. Çok seyrek kodlarda (D2 ve M1 dörder öğe) kappa güvenilir biçimde hesaplanamaz (Feinstein ve Cicchetti, 1990); bu kodlar için yalnız yön yazılır.</w:t>
      </w:r>
    </w:p>
    <w:p>
      <w:pPr>
        <w:keepNext/>
        <w:spacing w:after="60" w:before="140"/>
      </w:pPr>
      <w:r>
        <w:rPr>
          <w:rFonts w:ascii="Arial" w:cs="Arial" w:eastAsia="Arial" w:hAnsi="Arial"/>
          <w:b/>
          <w:bCs/>
          <w:sz w:val="18"/>
          <w:szCs w:val="18"/>
        </w:rPr>
        <w:t xml:space="preserve">Tablo H-4. Çift kodlama planı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7"/>
        <w:gridCol w:w="6439"/>
      </w:tblGrid>
      <w:tr>
        <w:trPr>
          <w:cantSplit/>
          <w:tblHeader/>
        </w:trPr>
        <w:tc>
          <w:tcPr>
            <w:tcW w:type="dxa" w:w="34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Başlık</w:t>
            </w:r>
          </w:p>
        </w:tc>
        <w:tc>
          <w:tcPr>
            <w:tcW w:type="dxa" w:w="643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w:t>
            </w:r>
          </w:p>
        </w:tc>
      </w:tr>
      <w:tr>
        <w:trPr>
          <w:cantSplit/>
          <w:tblHeader w:val="off"/>
        </w:trPr>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Kodlayan</w:t>
            </w:r>
          </w:p>
        </w:tc>
        <w:tc>
          <w:tcPr>
            <w:tcW w:type="dxa" w:w="64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Kurucu ekipten bir kişi; ilk kodlamayı görmeden</w:t>
            </w:r>
          </w:p>
        </w:tc>
      </w:tr>
      <w:tr>
        <w:trPr>
          <w:cantSplit/>
          <w:tblHeader w:val="off"/>
        </w:trPr>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Örneklem</w:t>
            </w:r>
          </w:p>
        </w:tc>
        <w:tc>
          <w:tcPr>
            <w:tcW w:type="dxa" w:w="64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263 öğe; ilk 130 öğe tek başına yaklaşık %5'lik rastgele alt örneklemdir</w:t>
            </w:r>
          </w:p>
        </w:tc>
      </w:tr>
      <w:tr>
        <w:trPr>
          <w:cantSplit/>
          <w:tblHeader w:val="off"/>
        </w:trPr>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Ölçüler</w:t>
            </w:r>
          </w:p>
        </w:tc>
        <w:tc>
          <w:tcPr>
            <w:tcW w:type="dxa" w:w="64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Dahil etme kararında ve en sık on kodda Cohen'in kappa katsayısı</w:t>
            </w:r>
          </w:p>
        </w:tc>
      </w:tr>
      <w:tr>
        <w:trPr>
          <w:cantSplit/>
          <w:tblHeader w:val="off"/>
        </w:trPr>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Eşik</w:t>
            </w:r>
          </w:p>
        </w:tc>
        <w:tc>
          <w:tcPr>
            <w:tcW w:type="dxa" w:w="64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az 0,61; D2 ve M1 kodlarında yalnız yön</w:t>
            </w:r>
          </w:p>
        </w:tc>
      </w:tr>
      <w:tr>
        <w:trPr>
          <w:cantSplit/>
          <w:tblHeader w:val="off"/>
        </w:trPr>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Bildirim</w:t>
            </w:r>
          </w:p>
        </w:tc>
        <w:tc>
          <w:tcPr>
            <w:tcW w:type="dxa" w:w="64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Sonuç panel sunumunda ve ilk İş Planı İlerleme Raporunda (AGY312) paylaşılacaktır</w:t>
            </w:r>
          </w:p>
        </w:tc>
      </w:tr>
    </w:tbl>
    <w:p>
      <w:pPr>
        <w:spacing w:after="60"/>
      </w:pPr>
    </w:p>
    <w:p>
      <w:pPr>
        <w:pStyle w:val="Heading2"/>
        <w:keepNext/>
        <w:spacing w:after="80" w:before="180"/>
      </w:pPr>
      <w:r>
        <w:rPr>
          <w:rFonts w:ascii="Arial" w:cs="Arial" w:eastAsia="Arial" w:hAnsi="Arial"/>
          <w:b/>
          <w:bCs/>
          <w:i w:val="false"/>
          <w:iCs w:val="false"/>
          <w:color w:val="000000"/>
          <w:sz w:val="21"/>
          <w:szCs w:val="21"/>
        </w:rPr>
        <w:t xml:space="preserve">H.3.7 Analiz ve raporlama kuralı</w:t>
      </w:r>
    </w:p>
    <w:p>
      <w:pPr>
        <w:spacing w:after="90"/>
      </w:pPr>
      <w:r>
        <w:rPr>
          <w:rFonts w:ascii="Arial" w:cs="Arial" w:eastAsia="Arial" w:hAnsi="Arial"/>
          <w:sz w:val="18"/>
          <w:szCs w:val="18"/>
        </w:rPr>
        <w:t xml:space="preserve">Her akışta, dahil edilen öğeler içinde her kodun geçtiği öğe sayısı ve payı hesaplanmış, pay için Wilson %95 güven aralığı (GA) verilmiştir (Wilson, 1927; Brown, Cai ve DasGupta, 2001). Güven aralığı yalnız örnekleme gürültüsünü gösterir; yorum yazanların seçiminden doğan yanlılığı ve aynı video ya da başlıktan gelen öğelerin kümelenmesini göstermez. Birleşik oranlar ("N1, N2 ya da N4") öğe düzeyinde birleşimdir, kod sayılarının toplamı değildir. Metinde sıralama şu yön ifadeleriyle verilir: "en sık" (akışta en çok geçen temalar), "sık", "azınlık" (en sık temaların belirgin biçimde gerisinde kalan) ve "nadir" (yalnız birkaç öğede geçen). "Çoğunluk" ifadesi yalnız oranla birlikte yazılır.</w:t>
      </w:r>
    </w:p>
    <w:p>
      <w:pPr>
        <w:pStyle w:val="Heading2"/>
        <w:keepNext/>
        <w:spacing w:after="80" w:before="180"/>
      </w:pPr>
      <w:r>
        <w:rPr>
          <w:rFonts w:ascii="Arial" w:cs="Arial" w:eastAsia="Arial" w:hAnsi="Arial"/>
          <w:b/>
          <w:bCs/>
          <w:i w:val="false"/>
          <w:iCs w:val="false"/>
          <w:color w:val="000000"/>
          <w:sz w:val="21"/>
          <w:szCs w:val="21"/>
        </w:rPr>
        <w:t xml:space="preserve">H.3.8 Etik ve veri koruma</w:t>
      </w:r>
    </w:p>
    <w:p>
      <w:pPr>
        <w:pStyle w:val="ListParagraph"/>
        <w:numPr>
          <w:ilvl w:val="0"/>
          <w:numId w:val="2"/>
        </w:numPr>
        <w:spacing w:after="50"/>
      </w:pPr>
      <w:r>
        <w:rPr>
          <w:rFonts w:ascii="Arial" w:cs="Arial" w:eastAsia="Arial" w:hAnsi="Arial"/>
          <w:sz w:val="18"/>
          <w:szCs w:val="18"/>
        </w:rPr>
        <w:t xml:space="preserve">Yalnız herkese açık, oturum açmadan okunabilen içerik kullanılmıştır. Kamuya açık veride de zarar ve mahremiyet değerlendirmesi yapılması önerildiğinden (franzke vd., 2020; Townsend ve Wallace, 2017) kullanıcı adı, profil bağlantısı ve profil resmi toplanmamıştır.</w:t>
      </w:r>
    </w:p>
    <w:p>
      <w:pPr>
        <w:pStyle w:val="ListParagraph"/>
        <w:numPr>
          <w:ilvl w:val="0"/>
          <w:numId w:val="2"/>
        </w:numPr>
        <w:spacing w:after="50"/>
      </w:pPr>
      <w:r>
        <w:rPr>
          <w:rFonts w:ascii="Arial" w:cs="Arial" w:eastAsia="Arial" w:hAnsi="Arial"/>
          <w:sz w:val="18"/>
          <w:szCs w:val="18"/>
        </w:rPr>
        <w:t xml:space="preserve">Metinlerde geçen kişi adları, telefon numaraları ve plakalar alıntılara taşınmamıştır. Birebir alıntının arama motorunda yazarın bulunmasını kolaylaştırdığı gösterildiğinden (Ayers vd., 2018) alıntılar yeniden yazılmış olarak verilir. Platform ve şirket adları alıntılarda genel adlarla ("bir yemek platformunun kurye uygulaması") anılmıştır.</w:t>
      </w:r>
    </w:p>
    <w:p>
      <w:pPr>
        <w:pStyle w:val="ListParagraph"/>
        <w:numPr>
          <w:ilvl w:val="0"/>
          <w:numId w:val="2"/>
        </w:numPr>
        <w:spacing w:after="50"/>
      </w:pPr>
      <w:r>
        <w:rPr>
          <w:rFonts w:ascii="Arial" w:cs="Arial" w:eastAsia="Arial" w:hAnsi="Arial"/>
          <w:sz w:val="18"/>
          <w:szCs w:val="18"/>
        </w:rPr>
        <w:t xml:space="preserve">Öğe düzeyindeki bağlantılar yalnız denetim dosyasında kayıt numarasıyla tutulur ve panelin talebi hâlinde gösterilir; bu ekteki kaynak listesi uygulama, başlık ve video düzeyindedir.</w:t>
      </w:r>
    </w:p>
    <w:p>
      <w:pPr>
        <w:pStyle w:val="ListParagraph"/>
        <w:numPr>
          <w:ilvl w:val="0"/>
          <w:numId w:val="2"/>
        </w:numPr>
        <w:spacing w:after="50"/>
      </w:pPr>
      <w:r>
        <w:rPr>
          <w:rFonts w:ascii="Arial" w:cs="Arial" w:eastAsia="Arial" w:hAnsi="Arial"/>
          <w:sz w:val="18"/>
          <w:szCs w:val="18"/>
        </w:rPr>
        <w:t xml:space="preserve">Ham veri üçüncü kişiyle paylaşılmaz ve iş planı hakkındaki karardan sonra en geç 12 ay içinde silinir; kodlanmış ve parafraz edilmiş tablo saklanır.</w:t>
      </w:r>
    </w:p>
    <w:p>
      <w:pPr>
        <w:pStyle w:val="ListParagraph"/>
        <w:numPr>
          <w:ilvl w:val="0"/>
          <w:numId w:val="2"/>
        </w:numPr>
        <w:spacing w:after="50"/>
      </w:pPr>
      <w:r>
        <w:rPr>
          <w:rFonts w:ascii="Arial" w:cs="Arial" w:eastAsia="Arial" w:hAnsi="Arial"/>
          <w:sz w:val="18"/>
          <w:szCs w:val="18"/>
        </w:rPr>
        <w:t xml:space="preserve">Çalışma, etik kurul başvurusunda "kamuya açık içerik analizi" bileşeni olarak beyan edilecek ve kurula bu bileşen için onay gerekip gerekmediği sorulacaktır (Ek-I).</w:t>
      </w:r>
    </w:p>
    <w:p>
      <w:pPr>
        <w:pStyle w:val="Heading2"/>
        <w:keepNext/>
        <w:spacing w:after="80" w:before="180"/>
      </w:pPr>
      <w:r>
        <w:rPr>
          <w:rFonts w:ascii="Arial" w:cs="Arial" w:eastAsia="Arial" w:hAnsi="Arial"/>
          <w:b/>
          <w:bCs/>
          <w:i w:val="false"/>
          <w:iCs w:val="false"/>
          <w:color w:val="000000"/>
          <w:sz w:val="21"/>
          <w:szCs w:val="21"/>
        </w:rPr>
        <w:t xml:space="preserve">H.3.9 Yeniden üretilebilirlik</w:t>
      </w:r>
    </w:p>
    <w:p>
      <w:pPr>
        <w:spacing w:after="90"/>
      </w:pPr>
      <w:r>
        <w:rPr>
          <w:rFonts w:ascii="Arial" w:cs="Arial" w:eastAsia="Arial" w:hAnsi="Arial"/>
          <w:sz w:val="18"/>
          <w:szCs w:val="18"/>
        </w:rPr>
        <w:t xml:space="preserve">Toplama anındaki ham veri anlık görüntü olarak saklanmaktadır. Derlem ve örneklemler bu görüntüden sabit tohumla yeniden kurulduğunda 13 akışın tamamı aynı öğeleri vermektedir (23.09.2026'da denetlenmiştir). Mağaza ve web kaynakları zamanla değiştiğinden ham toplama birebir tekrarlanamaz; anlık görüntüden sonraki her adım tekrarlanabilir.</w:t>
      </w:r>
    </w:p>
    <w:p>
      <w:pPr>
        <w:spacing w:after="90"/>
      </w:pPr>
      <w:r>
        <w:rPr>
          <w:rFonts w:ascii="Arial" w:cs="Arial" w:eastAsia="Arial" w:hAnsi="Arial"/>
          <w:sz w:val="18"/>
          <w:szCs w:val="18"/>
        </w:rPr>
        <w:t xml:space="preserve">Alıntı tablosundaki kayıtların bir örneklemi 30.09.2026'da kaynağından yeniden denetlenmiştir: 20 kaydın 19'unun sayfası doğrudan açılmış, erişim engeli olan bir kaydın içeriği arşiv kopyasında bulunmuştur. Parafraz 17 kayıtta özgün metinle tam, 3 kayıtta kısmen örtüşmektedir; çelişen kayıt bulunmamaktadır. Kesin tarih gösteren 15 kaynağın tamamında tarih tabloyla aynıdır. Kısmen örtüşen üç kayıt bu ekte düzeltilmiştir (S5R-0033, S9-0113, S9-0014).</w:t>
      </w:r>
    </w:p>
    <w:p>
      <w:pPr>
        <w:pStyle w:val="Heading1"/>
        <w:keepNext/>
        <w:spacing w:after="100" w:before="260"/>
      </w:pPr>
      <w:r>
        <w:rPr>
          <w:rFonts w:ascii="Arial" w:cs="Arial" w:eastAsia="Arial" w:hAnsi="Arial"/>
          <w:b/>
          <w:bCs/>
          <w:i w:val="false"/>
          <w:iCs w:val="false"/>
          <w:color w:val="000000"/>
          <w:sz w:val="26"/>
          <w:szCs w:val="26"/>
        </w:rPr>
        <w:t xml:space="preserve">H.4 Tema ve sıklık tabloları</w:t>
      </w:r>
    </w:p>
    <w:p>
      <w:pPr>
        <w:spacing w:after="90"/>
      </w:pPr>
      <w:r>
        <w:rPr>
          <w:rFonts w:ascii="Arial" w:cs="Arial" w:eastAsia="Arial" w:hAnsi="Arial"/>
          <w:sz w:val="18"/>
          <w:szCs w:val="18"/>
        </w:rPr>
        <w:t xml:space="preserve">Aşağıdaki tablolar her akışta en sık geçen temaları, dahil edilen öğeler içindeki öğe sayısı ve payla birlikte göstermektedir. Kodlayıcılar arası uyum ölçülene kadar oranlar sıralama bilgisi olarak okunmalıdır (H.3.6).</w:t>
      </w:r>
    </w:p>
    <w:p>
      <w:pPr>
        <w:keepNext/>
        <w:spacing w:after="60" w:before="140"/>
      </w:pPr>
      <w:r>
        <w:rPr>
          <w:rFonts w:ascii="Arial" w:cs="Arial" w:eastAsia="Arial" w:hAnsi="Arial"/>
          <w:b/>
          <w:bCs/>
          <w:sz w:val="18"/>
          <w:szCs w:val="18"/>
        </w:rPr>
        <w:t xml:space="preserve">Tablo H-5. Sürücü akışlarında en sık temalar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45"/>
        <w:gridCol w:w="1188"/>
        <w:gridCol w:w="1188"/>
        <w:gridCol w:w="1785"/>
      </w:tblGrid>
      <w:tr>
        <w:trPr>
          <w:cantSplit/>
          <w:tblHeader/>
        </w:trPr>
        <w:tc>
          <w:tcPr>
            <w:tcW w:type="dxa" w:w="574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Tema (kod)</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Öğe</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Pay</w:t>
            </w:r>
          </w:p>
        </w:tc>
        <w:tc>
          <w:tcPr>
            <w:tcW w:type="dxa" w:w="17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%95 GA</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S1 · Genel navigasyon uygulamaları, sürücü yorumları (dahil 52)</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Otomobil mantığı: N1, N2 ya da N4 (birleşik)</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%75,0</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61,8–84,8</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 seçeneğinin bulunmaması ya da istenmesi (N2)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%63,5</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49,9–75,2</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Sürüşte kullanım (N6)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%28,8</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18,3–42,3</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Genel rota kalitesi, dolambaç (N4)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%26,9</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16,8–40,3</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Güvenlik (N7)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%21,2</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12,2–34,0</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Motosiklete uygunsuz rota (N3)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%17,3</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9,4–29,7</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çözümden memnuniyet (D1)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%17,3</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9,4–29,7</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 tahmininin uymaması (N1)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%3,8</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1,1–13,0</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S2 · Motosiklet uygulamaları, sürücü yorumları (dahil 284)</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kararlılığı ve bağlantı (N10)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%66,5</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60,9–71,8</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 istatistik, topluluk (N12)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%21,5</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17,1–26,6</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çözümden memnuniyet (D1)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%18,7</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14,6–23,6</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Sürüşte kullanım (N6)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%9,5</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6,6–13,5</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Türkçe dil ve ses desteği eksikliği (N15)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%4,9</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3,0–8,1</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Fiyat, abonelik (N9)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1,7–5,9</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S5R · Ekşi Sözlük, sürücü başlıkları (dahil 118)</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Toplumsal algı ve trafikte çatışma (K13)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%67,8</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58,9–75,6</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Güvenlik (N7)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%39,0</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30,7–48,0</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S8N · Şikâyetvar, bir harita uygulamasının marka sayfası (dahil 14; küçük akış)</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Motosiklete uygunsuz rota (N3)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%42,9</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21,4–67,4</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Genel rota kalitesi (N4)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%35,7</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16,3–61,2</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 tahmininin uymaması (N1)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%14,3</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4,0–39,9</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S9 · motosiklet.net forumu (dahil 197)</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Sürüşte kullanım (N6)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%31,0</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24,9–37,7</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Güvenlik (N7)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%18,8</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13,9–24,8</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Virajlı ya da manzaralı rota (N8)</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%9,6</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6,3–14,6</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 ve topluluk (N12)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%9,6</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6,3–14,6</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çözümden memnuniyet (D1)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%7,6</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4,7–12,2</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 tahmininin uymaması (N1)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%7,1</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4,3–11,6</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Motosiklete uygunsuz rota (N3)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%7,1</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4,3–11,6</w:t>
            </w:r>
          </w:p>
        </w:tc>
      </w:tr>
    </w:tbl>
    <w:p>
      <w:pPr>
        <w:spacing w:after="60"/>
      </w:pPr>
    </w:p>
    <w:p>
      <w:pPr>
        <w:spacing w:after="100" w:before="40"/>
      </w:pPr>
      <w:r>
        <w:rPr>
          <w:rFonts w:ascii="Arial" w:cs="Arial" w:eastAsia="Arial" w:hAnsi="Arial"/>
          <w:i/>
          <w:iCs/>
          <w:color w:val="595959"/>
          <w:sz w:val="16"/>
          <w:szCs w:val="16"/>
        </w:rPr>
        <w:t xml:space="preserve">Not: S5N akışı (4 giri) tablo dışında bırakılmıştır. S8N akışındaki kullanıcıların motosikletli olup olmadığı çoğu öğede belirtilmemiştir.</w:t>
      </w:r>
    </w:p>
    <w:p>
      <w:pPr>
        <w:keepNext/>
        <w:spacing w:after="60" w:before="140"/>
      </w:pPr>
      <w:r>
        <w:rPr>
          <w:rFonts w:ascii="Arial" w:cs="Arial" w:eastAsia="Arial" w:hAnsi="Arial"/>
          <w:b/>
          <w:bCs/>
          <w:sz w:val="18"/>
          <w:szCs w:val="18"/>
        </w:rPr>
        <w:t xml:space="preserve">Tablo H-6. Kurye akışlarında en sık temalar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45"/>
        <w:gridCol w:w="1188"/>
        <w:gridCol w:w="1188"/>
        <w:gridCol w:w="1785"/>
      </w:tblGrid>
      <w:tr>
        <w:trPr>
          <w:cantSplit/>
          <w:tblHeader/>
        </w:trPr>
        <w:tc>
          <w:tcPr>
            <w:tcW w:type="dxa" w:w="574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Tema (kod)</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Öğe</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Pay</w:t>
            </w:r>
          </w:p>
        </w:tc>
        <w:tc>
          <w:tcPr>
            <w:tcW w:type="dxa" w:w="17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%95 GA</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S3R · Kurye uygulamaları, rastgele örneklem, kurye yorumları (dahil 260)</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ya da platform uygulamasının teknik sorunları (K6)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148</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%56,9</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50,8–62,8</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kapatma, puan, ceza, algoritmik yönetim (K7)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%28,1</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23,0–33,8</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Kazanç, paket ücreti, komisyon (K3)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%23,1</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18,4–28,6</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Sıra ya da mesafe: K1 ya da K4 (birleşik)</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%16,2</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12,2–21,1</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Mesafe ve km hesabı, uzak atama (K4)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%9,6</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6,6–13,8</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Sipariş ya da durak sırası (K1)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%8,1</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5,3–12,0</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çözümden memnuniyet (D1)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%7,3</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4,7–11,1</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Yalnız navigasyon kodları (sıra ve mesafe olmadan)</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%3,5</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1,8–6,4</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S3N · Kurye uygulamaları, hedefli örneklem, kurye yorumları (dahil 300; yaygınlık göstermez)</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ya da platform uygulamasının teknik sorunları (K6)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%34,3</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29,2–39,9</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Mesafe ve km hesabı, uzak atama (K4)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%28,7</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23,8–34,0</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Sipariş ya da durak sırası (K1)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%25,7</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21,1–30,9</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Kazanç (K3)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%21,0</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16,8–26,0</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kapatma, ceza, algoritmik yönetim (K7)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%18,3</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14,4–23,1</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Adres ve harita verisi hatası (N5)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%13,0</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9,7–17,3</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S1 · Genel navigasyon uygulamaları, kurye yorumları (dahil 64)</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çözümden memnuniyet (D1)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%48,4</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36,6–60,4</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kararlılığı ve bağlantı (N10)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%25,0</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16,0–36,8</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Adres ve harita verisi hatası (N5)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%14,1</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7,6–24,6</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Sürüşte kullanım (N6)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%14,1</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7,6–24,6</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Kota ya da erişim kısıtı (N14)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%7,8</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3,4–17,0</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S4 · Çok duraklı rota planlayıcılar (dahil 87)</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çözümden memnuniyet (D1)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38</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%43,7</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33,7–54,1</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Sipariş ya da durak sırası (K1)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%31,0</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22,3–41,4</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Adres ve harita verisi hatası (N5)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%20,7</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13,5–30,4</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Fiyat, abonelik (N9)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%16,1</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9,8–25,2</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kararlılığı (N10)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%13,8</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8,1–22,6</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S5K · Ekşi Sözlük, kurye başlıkları (dahil 126)</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Toplumsal algı ve trafikte çatışma (K13)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%40,5</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32,3–49,2</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 yaralanma, iş güvenliği (K5)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%27,8</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20,7–36,2</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Kazanç (K3)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%24,6</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17,9–32,8</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Hava koşulları (K8)</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%15,9</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10,5–23,2</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Uzun mesai ve yorgunluk (K10)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%13,5</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8,6–20,5</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Giderler (K9)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%11,9</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7,3–18,7</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S6 · Reddit, Türkçe alt forumlar (dahil 65)</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Kazanç (K3)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%26,2</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17,0–38,0</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Giderler (K9)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%16,9</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9,7–27,8</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 ve iş güvenliği (K5)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%16,9</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9,7–27,8</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Mevzuat, belge, trafik cezası (K12)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%12,3</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6,4–22,5</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Güvenlik (N7)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%12,3</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6,4–22,5</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S7 · YouTube yorumları (dahil 130)</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Kazanç (K3)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%35,4</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27,7–43,9</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Sipariş ya da durak sırası (K1)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%23,1</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16,7–31,0</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Giderler (K9)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%23,1</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16,7–31,0</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Uzun mesai ve yorgunluk (K10)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%16,2</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10,8–23,4</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Adres ve harita verisi hatası (N5)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%8,5</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4,8–14,5</w:t>
            </w:r>
          </w:p>
        </w:tc>
      </w:tr>
      <w:tr>
        <w:trPr>
          <w:cantSplit/>
          <w:tblHeader w:val="off"/>
        </w:trPr>
        <w:tc>
          <w:tcPr>
            <w:tcW w:type="dxa" w:w="9906"/>
            <w:gridSpan w:val="4"/>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S8K · Şikâyetvar, kurye ağzından şikâyetler (dahil 138; şikâyet sitesi)</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Kazanç (K3)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%65,2</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57,0–72,7</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kapatma, ceza, kesinti (K7)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%58,7</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50,4–66,6</w:t>
            </w:r>
          </w:p>
        </w:tc>
      </w:tr>
      <w:tr>
        <w:trPr>
          <w:cantSplit/>
          <w:tblHeader w:val="off"/>
        </w:trPr>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Giderler (K9)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%15,2</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10,2–22,1</w:t>
            </w:r>
          </w:p>
        </w:tc>
      </w:tr>
    </w:tbl>
    <w:p>
      <w:pPr>
        <w:spacing w:after="60"/>
      </w:pPr>
    </w:p>
    <w:p>
      <w:pPr>
        <w:spacing w:after="100" w:before="40"/>
      </w:pPr>
      <w:r>
        <w:rPr>
          <w:rFonts w:ascii="Arial" w:cs="Arial" w:eastAsia="Arial" w:hAnsi="Arial"/>
          <w:i/>
          <w:iCs/>
          <w:color w:val="595959"/>
          <w:sz w:val="16"/>
          <w:szCs w:val="16"/>
        </w:rPr>
        <w:t xml:space="preserve">Not: Öğe sayıları, dahil edilen öğeler içinde ilgili kodun geçtiği öğelerdir; bir öğe birden çok kod alabildiği için sütun toplamı dahil öğe sayısını aşabilir. Kaynak: netnografi analiz dosyası (</w:t>
      </w:r>
      <w:r>
        <w:rPr>
          <w:rFonts w:ascii="Consolas" w:cs="Consolas" w:eastAsia="Consolas" w:hAnsi="Consolas"/>
          <w:color w:val="595959"/>
          <w:sz w:val="15"/>
          <w:szCs w:val="15"/>
        </w:rPr>
        <w:t xml:space="preserve">summary.json</w:t>
      </w:r>
      <w:r>
        <w:rPr>
          <w:rFonts w:ascii="Arial" w:cs="Arial" w:eastAsia="Arial" w:hAnsi="Arial"/>
          <w:i/>
          <w:iCs/>
          <w:color w:val="595959"/>
          <w:sz w:val="16"/>
          <w:szCs w:val="16"/>
        </w:rPr>
        <w:t xml:space="preserve">), 23.09.2026.</w:t>
      </w:r>
    </w:p>
    <w:p>
      <w:pPr>
        <w:spacing w:after="90"/>
      </w:pPr>
      <w:r>
        <w:rPr>
          <w:rFonts w:ascii="Arial" w:cs="Arial" w:eastAsia="Arial" w:hAnsi="Arial"/>
          <w:sz w:val="18"/>
          <w:szCs w:val="18"/>
        </w:rPr>
        <w:t xml:space="preserve">Rehberde sayılan beş tema aşağıda kodlarla eşleştirilmiştir. Tablo, temanın hangi akışta ne ölçüde öne çıktığını ve H.5.9'daki hangi örneklere dayandığını göstermektedir.</w:t>
      </w:r>
    </w:p>
    <w:p>
      <w:pPr>
        <w:keepNext/>
        <w:spacing w:after="60" w:before="140"/>
      </w:pPr>
      <w:r>
        <w:rPr>
          <w:rFonts w:ascii="Arial" w:cs="Arial" w:eastAsia="Arial" w:hAnsi="Arial"/>
          <w:b/>
          <w:bCs/>
          <w:sz w:val="18"/>
          <w:szCs w:val="18"/>
        </w:rPr>
        <w:t xml:space="preserve">Tablo H-7. Rehberde sayılan temalar, kodlar ve örnekler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1188"/>
        <w:gridCol w:w="4358"/>
        <w:gridCol w:w="2776"/>
      </w:tblGrid>
      <w:tr>
        <w:trPr>
          <w:cantSplit/>
          <w:tblHeader/>
        </w:trPr>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Tema</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Kodlar</w:t>
            </w:r>
          </w:p>
        </w:tc>
        <w:tc>
          <w:tcPr>
            <w:tcW w:type="dxa" w:w="435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Öne çıktığı akış ve sıklık</w:t>
            </w:r>
          </w:p>
        </w:tc>
        <w:tc>
          <w:tcPr>
            <w:tcW w:type="dxa" w:w="277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Örnek kayıtlar</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Otomobil mantığı</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N1, N2, N4</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 sürücü yorumlarında en sık tema: 39/52 (%75,0). Forumda ve sözlükte aynı anlatım sürmektedir.</w:t>
            </w:r>
          </w:p>
        </w:tc>
        <w:tc>
          <w:tcPr>
            <w:tcW w:type="dxa" w:w="27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S1-0041, S1-0081, S9-0143, S5N-0002</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arızası</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 N10, N14</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Rastgele kurye örnekleminde en sık tema: K6 148/260 (%56,9). Motosiklet uygulamalarında N10 189/284 (%66,5).</w:t>
            </w:r>
          </w:p>
        </w:tc>
        <w:tc>
          <w:tcPr>
            <w:tcW w:type="dxa" w:w="27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S1-0144, S3N-0076, S4-0026</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Trafik cezası</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K12, N3</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 tek örneklerde geçmektedir; Reddit akışında K12 8/65 (%12,3). Kurye akışlarında öne çıkan ceza teması trafik cezası değil, platform cezası ve hesap kapatmadır (K7: S3R 73/260; S8K 81/138).</w:t>
            </w:r>
          </w:p>
        </w:tc>
        <w:tc>
          <w:tcPr>
            <w:tcW w:type="dxa" w:w="27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S3N-0244</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Zaman kaybı</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N4, K1, K4</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Sürücüde dolambaç (N4) 14/52. Kuryede uzak atama ve ters sıra hedefli örneklemde sıktır (K4 86/300, K1 77/300); rastgele örneklemde azınlıktır (K1 ya da K4: 42/260).</w:t>
            </w:r>
          </w:p>
        </w:tc>
        <w:tc>
          <w:tcPr>
            <w:tcW w:type="dxa" w:w="27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S1-0041, S3N-0124, S3N-0254, S3N-0116</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Kazanç baskısı</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 K9</w:t>
            </w:r>
          </w:p>
        </w:tc>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Şikâyet sitesinde en sık tema: 90/138 (%65,2); YouTube'da 46/130; rastgele kurye örnekleminde 60/260.</w:t>
            </w:r>
          </w:p>
        </w:tc>
        <w:tc>
          <w:tcPr>
            <w:tcW w:type="dxa" w:w="27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S3N-0047, S3N-0104, S8K-0142</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H.5 Bulgular</w:t>
      </w:r>
    </w:p>
    <w:p>
      <w:pPr>
        <w:pStyle w:val="Heading2"/>
        <w:keepNext/>
        <w:spacing w:after="80" w:before="180"/>
      </w:pPr>
      <w:r>
        <w:rPr>
          <w:rFonts w:ascii="Arial" w:cs="Arial" w:eastAsia="Arial" w:hAnsi="Arial"/>
          <w:b/>
          <w:bCs/>
          <w:i w:val="false"/>
          <w:iCs w:val="false"/>
          <w:color w:val="000000"/>
          <w:sz w:val="21"/>
          <w:szCs w:val="21"/>
        </w:rPr>
        <w:t xml:space="preserve">H.5.1 Günlük sürücü</w:t>
      </w:r>
    </w:p>
    <w:p>
      <w:pPr>
        <w:spacing w:after="90"/>
      </w:pPr>
      <w:r>
        <w:rPr>
          <w:rFonts w:ascii="Arial" w:cs="Arial" w:eastAsia="Arial" w:hAnsi="Arial"/>
          <w:b/>
          <w:bCs/>
          <w:sz w:val="18"/>
          <w:szCs w:val="18"/>
        </w:rPr>
        <w:t xml:space="preserve">Otomobil mantığı.</w:t>
      </w:r>
      <w:r>
        <w:rPr>
          <w:rFonts w:ascii="Arial" w:cs="Arial" w:eastAsia="Arial" w:hAnsi="Arial"/>
          <w:sz w:val="18"/>
          <w:szCs w:val="18"/>
        </w:rPr>
        <w:t xml:space="preserve"> S1 akışındaki 52 sürücü yorumunda en sık şikâyet konusu motosiklet seçeneğinin bulunmaması, trafikten kaçmak için uzun dolambaç ya da uymayan süredir. Tipik anlatımda uygulamanın trafik nedeniyle 23 km'lik yolu 54 km'ye çıkardığı ve trafiğin motosiklet için sorun oluşturmadığı aktarılmaktadır (S1-0041). Forumda bir sürücü, uygulamanın motosikletin TEM otoyolundan doğrudan gidebileceğini hesaba katmadığını yazmaktadır (S9-0143). Açık motosiklet seçeneği talebi 2023–2026 arasındaki her yılda görülmektedir; örneklem küçük olduğundan yıllara göre eğilim iddiası kurulmamaktadır.</w:t>
      </w:r>
    </w:p>
    <w:p>
      <w:pPr>
        <w:spacing w:after="90"/>
      </w:pPr>
      <w:r>
        <w:rPr>
          <w:rFonts w:ascii="Arial" w:cs="Arial" w:eastAsia="Arial" w:hAnsi="Arial"/>
          <w:b/>
          <w:bCs/>
          <w:sz w:val="18"/>
          <w:szCs w:val="18"/>
        </w:rPr>
        <w:t xml:space="preserve">Süre sapmasının iki yönü.</w:t>
      </w:r>
      <w:r>
        <w:rPr>
          <w:rFonts w:ascii="Arial" w:cs="Arial" w:eastAsia="Arial" w:hAnsi="Arial"/>
          <w:sz w:val="18"/>
          <w:szCs w:val="18"/>
        </w:rPr>
        <w:t xml:space="preserve"> Varış süresini doğrudan eleştiren yorum azdır (S1 sürücü yorumlarında 2/52; forumda 14/197). Sapma iki yönde anlatılmaktadır. Kentte sıkışıklıkta otomobil süresi motosiklet için uzun kalmaktadır; bir kurye, uygulama navigasyonunun normal trafik akışına göre ilerlediğini ve kuryelerin hızına yetişemediğini yazmaktadır (S3N-0308). Açık yolda küçük hacimli motosiklette sapma ters yöndedir: Bir sürücü, Google'ın 53 dakika gösterdiği yolun 125 cc motosikletle yaklaşık 90 dakika sürdüğünü aktarmaktadır (S9-0112). Bir sürücü mola payını da katarak gösterilen süreyi 1,5 ile çarptığını yazmakta (S9-0113), sürücüler kendi hız sınırlarını girip süreyi buna göre görmek istemektedir. Bu nedenle MotoMap'in süre modeli iki yönlü sapmayı ölçecek biçimde doğrulanacaktır (İş Planı 2.2; Ek-A).</w:t>
      </w:r>
    </w:p>
    <w:p>
      <w:pPr>
        <w:spacing w:after="90"/>
      </w:pPr>
      <w:r>
        <w:rPr>
          <w:rFonts w:ascii="Arial" w:cs="Arial" w:eastAsia="Arial" w:hAnsi="Arial"/>
          <w:b/>
          <w:bCs/>
          <w:sz w:val="18"/>
          <w:szCs w:val="18"/>
        </w:rPr>
        <w:t xml:space="preserve">Uygunsuz rota.</w:t>
      </w:r>
      <w:r>
        <w:rPr>
          <w:rFonts w:ascii="Arial" w:cs="Arial" w:eastAsia="Arial" w:hAnsi="Arial"/>
          <w:sz w:val="18"/>
          <w:szCs w:val="18"/>
        </w:rPr>
        <w:t xml:space="preserve"> Yorumlarda motosiklete kapalı tünele (S1-0013), istenmeyen ücretli otoyola (S1-0138), merdivenli (S1-0165) ya da çok dik yola (S1-0100), dağ ve toprak yola yönlendirme anlatılmaktadır. Bir sürücü, navigasyonun yönlendirdiği toprak yolda motosikletinin kaydığını yazmaktadır (S6-0103). İş Planı 1.1'deki "önerilen rota motosiklet kullanımına uygun olmayan yollara sapabilmektedir" ifadesi bu anlatımlara dayanır.</w:t>
      </w:r>
    </w:p>
    <w:p>
      <w:pPr>
        <w:spacing w:after="90"/>
      </w:pPr>
      <w:r>
        <w:rPr>
          <w:rFonts w:ascii="Arial" w:cs="Arial" w:eastAsia="Arial" w:hAnsi="Arial"/>
          <w:b/>
          <w:bCs/>
          <w:sz w:val="18"/>
          <w:szCs w:val="18"/>
        </w:rPr>
        <w:t xml:space="preserve">Sürüşte kullanım.</w:t>
      </w:r>
      <w:r>
        <w:rPr>
          <w:rFonts w:ascii="Arial" w:cs="Arial" w:eastAsia="Arial" w:hAnsi="Arial"/>
          <w:sz w:val="18"/>
          <w:szCs w:val="18"/>
        </w:rPr>
        <w:t xml:space="preserve"> "Daha kısa rota bulundu" önerisi motosiklet sürülürken reddedilememekte ve birkaç saniye içinde kendiliğinden kabul edilmektedir (S1-0057); bir sürücü, öneriyi reddetmek için motosikleti durdurup eldiveni çıkarması gerektiğini yazmaktadır (S9-0147). Küçük düğmelere eldivenle basılamadığı (S1-0036), "güneybatı yönünde ilerle" türü talimatın sürüşte kullanılamadığı ve "sağdaki 2. çıkış" türü talimatın istendiği (S1-0084), interkom bağlantısının koptuğu ve uygulamanın cadde adlarını Türkçe okumadığı (S9-0014) da yazılmaktadır. Bu bulgular sesli ve dokunmasız kullanımın üründe önkoşul olarak ele alınmasının dayanağıdır (İş Planı 2.1).</w:t>
      </w:r>
    </w:p>
    <w:p>
      <w:pPr>
        <w:spacing w:after="90"/>
      </w:pPr>
      <w:r>
        <w:rPr>
          <w:rFonts w:ascii="Arial" w:cs="Arial" w:eastAsia="Arial" w:hAnsi="Arial"/>
          <w:b/>
          <w:bCs/>
          <w:sz w:val="18"/>
          <w:szCs w:val="18"/>
        </w:rPr>
        <w:t xml:space="preserve">Motosiklet uygulamalarının kullanıcıları.</w:t>
      </w:r>
      <w:r>
        <w:rPr>
          <w:rFonts w:ascii="Arial" w:cs="Arial" w:eastAsia="Arial" w:hAnsi="Arial"/>
          <w:sz w:val="18"/>
          <w:szCs w:val="18"/>
        </w:rPr>
        <w:t xml:space="preserve"> S2 akışında en sık şikâyet konusu kararlılık ve bağlantıdır (189/284); akıştaki yorumların bir kısmı motosiklet üreticilerinin uygulamalarına aittir. Türkçe dil eksikliği, arka planda sürekli konum izni istenmesine itiraz ve fiyat daha az görülmektedir. Ağustos ve Eylül 2026'da yayımlanan iki yerli uygulamanın ilk yorumları olumludur (S2-0180, S2-0183); ancak App Store'daki yazılı yorum sayıları 5 ve 8 olduğundan bu yorumlardan eğilim çıkarılmaz (Ek-C).</w:t>
      </w:r>
    </w:p>
    <w:p>
      <w:pPr>
        <w:pStyle w:val="Heading2"/>
        <w:keepNext/>
        <w:spacing w:after="80" w:before="180"/>
      </w:pPr>
      <w:r>
        <w:rPr>
          <w:rFonts w:ascii="Arial" w:cs="Arial" w:eastAsia="Arial" w:hAnsi="Arial"/>
          <w:b/>
          <w:bCs/>
          <w:i w:val="false"/>
          <w:iCs w:val="false"/>
          <w:color w:val="000000"/>
          <w:sz w:val="21"/>
          <w:szCs w:val="21"/>
        </w:rPr>
        <w:t xml:space="preserve">H.5.2 Esnaf ve platform kuryesi</w:t>
      </w:r>
    </w:p>
    <w:p>
      <w:pPr>
        <w:spacing w:after="90"/>
      </w:pPr>
      <w:r>
        <w:rPr>
          <w:rFonts w:ascii="Arial" w:cs="Arial" w:eastAsia="Arial" w:hAnsi="Arial"/>
          <w:b/>
          <w:bCs/>
          <w:sz w:val="18"/>
          <w:szCs w:val="18"/>
        </w:rPr>
        <w:t xml:space="preserve">Rastgele örneklemde öncelik.</w:t>
      </w:r>
      <w:r>
        <w:rPr>
          <w:rFonts w:ascii="Arial" w:cs="Arial" w:eastAsia="Arial" w:hAnsi="Arial"/>
          <w:sz w:val="18"/>
          <w:szCs w:val="18"/>
        </w:rPr>
        <w:t xml:space="preserve"> Kurye uygulamalarına yazılmış rastgele 260 yorumda en sık şikâyet konuları uygulama arızası, ceza ve algoritmik yönetim ile kazançtır. Sıra ve mesafe azınlıkta kalan bir şikâyet konusudur; navigasyon şikâyeti nadirdir. Bu sıralama, platform kuryesinin gündemini platformun işleyişinin ve kazancın belirlediğine işaret etmektedir.</w:t>
      </w:r>
    </w:p>
    <w:p>
      <w:pPr>
        <w:spacing w:after="90"/>
      </w:pPr>
      <w:r>
        <w:rPr>
          <w:rFonts w:ascii="Arial" w:cs="Arial" w:eastAsia="Arial" w:hAnsi="Arial"/>
          <w:b/>
          <w:bCs/>
          <w:sz w:val="18"/>
          <w:szCs w:val="18"/>
        </w:rPr>
        <w:t xml:space="preserve">Sıra şikâyetinin içeriği (hedefli örneklem).</w:t>
      </w:r>
      <w:r>
        <w:rPr>
          <w:rFonts w:ascii="Arial" w:cs="Arial" w:eastAsia="Arial" w:hAnsi="Arial"/>
          <w:sz w:val="18"/>
          <w:szCs w:val="18"/>
        </w:rPr>
        <w:t xml:space="preserve"> Birleşik siparişte sistemin iki paket arasında 500 metre varken önce uzaktakine yönlendirdiği (S3N-0116), üç siparişten ikisi aynı yerdeyken önce 10 km uzağa gönderip geri getirdiği (S3N-0124), sonraki adresin teslimden önce görünmediği (S3R-0116) ve kilometre ücretinin kuş uçuşu hesaplandığı (S3N-0188, S3R-0243) anlatılmaktadır. Bir kurye, ters atama nedeniyle aylık yakıt giderinin 7–8 bin TL'den 13–14 bin TL'ye çıktığını yazmaktadır (S3N-0104; kuryenin beyanı). Kuryelerin istekleri şunlardır: bütün adresleri görmek, sırayı yakından uzağa seçebilmek ve yapılan kilometreyi görmek (S3N-0073). Platformda sırayı platform belirlediğinden bu şikâyet kuryenin denetiminde değildir ve bireysel bir kurye uygulamasıyla giderilemez. İş Planı 1.2'de çok duraklı özelliğin birincil hedefinin, teslimat sırasına karar verebilen esnaf kurye ve çok taşıtlı işletme olarak tanımlanması bu bulguya dayanır.</w:t>
      </w:r>
    </w:p>
    <w:p>
      <w:pPr>
        <w:spacing w:after="90"/>
      </w:pPr>
      <w:r>
        <w:rPr>
          <w:rFonts w:ascii="Arial" w:cs="Arial" w:eastAsia="Arial" w:hAnsi="Arial"/>
          <w:b/>
          <w:bCs/>
          <w:sz w:val="18"/>
          <w:szCs w:val="18"/>
        </w:rPr>
        <w:t xml:space="preserve">Platformların kendi navigasyonu ve trafik cezası.</w:t>
      </w:r>
      <w:r>
        <w:rPr>
          <w:rFonts w:ascii="Arial" w:cs="Arial" w:eastAsia="Arial" w:hAnsi="Arial"/>
          <w:sz w:val="18"/>
          <w:szCs w:val="18"/>
        </w:rPr>
        <w:t xml:space="preserve"> Bir yemek platformunun kurye uygulamasına 2025 baharında eklenen yerleşik navigasyonla ilgili yorumlarda merdivenli yollara, ters yöne ve kuryeleri bisikletli ya da yaya gibi ele alan rotalara yönlendirme anlatılmaktadır (S3N-0238). Bir kurye, güncellemeden sonra navigasyonun kestirme diye ters şeride soktuğunu ve 900 TL trafik cezası aldığını yazmaktadır (S3N-0244). Aynı dönemde bu navigasyonu başarılı bulan kurye de bulunmaktadır (S3N-0241). Ekleme tarihi yorumlardan çıkarılmıştır; platformun resmî duyurusu bulunamamıştır. Bu bulgu, motosiklete özgü rota ve süre hizmeti için bir ihtiyaç işaretidir; alım kararı için kanıt sayılmaz.</w:t>
      </w:r>
    </w:p>
    <w:p>
      <w:pPr>
        <w:spacing w:after="90"/>
      </w:pPr>
      <w:r>
        <w:rPr>
          <w:rFonts w:ascii="Arial" w:cs="Arial" w:eastAsia="Arial" w:hAnsi="Arial"/>
          <w:b/>
          <w:bCs/>
          <w:sz w:val="18"/>
          <w:szCs w:val="18"/>
        </w:rPr>
        <w:t xml:space="preserve">Zaman kaybı ve kazanç baskısı.</w:t>
      </w:r>
      <w:r>
        <w:rPr>
          <w:rFonts w:ascii="Arial" w:cs="Arial" w:eastAsia="Arial" w:hAnsi="Arial"/>
          <w:sz w:val="18"/>
          <w:szCs w:val="18"/>
        </w:rPr>
        <w:t xml:space="preserve"> Kurye anlatımlarında zaman kaybı çoğunlukla mesafeyle birlikte anlatılmaktadır: 300 metredeki adrese 4 km'den götürme (S3N-0254) ve ters sıradan doğan geri dönüşler. Kazanç baskısı şikâyet sitesinde en sık temadır (90/138). Bir kurye, müşteriden müşteriye 40–50 km'lik iş için 150–180 TL alındığını ve yakıt ile vergi sonrasında 20–30 TL kaldığını yazmaktadır (S3N-0047). Kaza nedeniyle iki gün çalışamayan bir kuryenin primi kesilmiş ve yaklaşık 25 bin TL ücreti ödenmemiştir (S8K-0142). YouTube ve Reddit'teki kurye hesapları aylık net geliri yakıt, vergi, Bağ-Kur ve muhasebe sonrasında 45–52 bin TL civarında vermektedir (kişisel beyan, doğrulanmamıştır). Bu anlatımlar kurye bütçesinin dar olduğuna işaret etmektedir; kurye için ücretli bir uygulama yakıt gideriyle aynı bütçeden karşılanır ve değeri TL olarak gösterilmelidir (İş Planı 2.1).</w:t>
      </w:r>
    </w:p>
    <w:p>
      <w:pPr>
        <w:pStyle w:val="Heading2"/>
        <w:keepNext/>
        <w:spacing w:after="80" w:before="180"/>
      </w:pPr>
      <w:r>
        <w:rPr>
          <w:rFonts w:ascii="Arial" w:cs="Arial" w:eastAsia="Arial" w:hAnsi="Arial"/>
          <w:b/>
          <w:bCs/>
          <w:i w:val="false"/>
          <w:iCs w:val="false"/>
          <w:color w:val="000000"/>
          <w:sz w:val="21"/>
          <w:szCs w:val="21"/>
        </w:rPr>
        <w:t xml:space="preserve">H.5.3 Çok duraklı kargo, evrak ve eczane kuryesi; rota planlayıcı kullanıcıları</w:t>
      </w:r>
    </w:p>
    <w:p>
      <w:pPr>
        <w:spacing w:after="90"/>
      </w:pPr>
      <w:r>
        <w:rPr>
          <w:rFonts w:ascii="Arial" w:cs="Arial" w:eastAsia="Arial" w:hAnsi="Arial"/>
          <w:sz w:val="18"/>
          <w:szCs w:val="18"/>
        </w:rPr>
        <w:t xml:space="preserve">Kargo dağıtıcıları günde 130–270 paketlik dağıtım (S7-0205), 40 mahalle, 200 paket ve 130 km (S7-0239) anlatmaktadır. Barkodlar okutulduğunda sistemin otomatik sıra verdiği, ancak nereden başlanacağına kuryenin karar verdiği (S7-0202) ve rota planlayıcının paket numaralarını karıştırdığı (S7-0234) yazılmaktadır. Bir evrak kuryesi kazancın "güzel rut çizmeye" bağlı olduğunu aktarmaktadır (S7-0111). Bu segmentte sıralamanın yerel kısıtları bilmesi gerekmektedir: merdiven, site girişi, aynı sokağın iki ucu.</w:t>
      </w:r>
    </w:p>
    <w:p>
      <w:pPr>
        <w:spacing w:after="90"/>
      </w:pPr>
      <w:r>
        <w:rPr>
          <w:rFonts w:ascii="Arial" w:cs="Arial" w:eastAsia="Arial" w:hAnsi="Arial"/>
          <w:sz w:val="18"/>
          <w:szCs w:val="18"/>
        </w:rPr>
        <w:t xml:space="preserve">Çok duraklı rota planlayıcıların kullanıcılarında memnuniyet sıktır (38/87); bir kargo kuryesi, uygulamayla bilmediği bölgede 70 adresi kolayca dağıttığını yazmaktadır (S4-0058). Eleştiriler sıralamanın mantığına (aynı sokağın yarısının başa, yarısının sona konması; S4-0015), harita verisine, ulaşım aracı seçeneğinin bulunmamasına ve fiyata yönelmektedir. Bu uygulamaların Google Play Türkiye'deki kurulum sayıları Routin için 1.000.000+, Spoke için 10.000.000+, Zeo için 1.000.000+ ve Routingo için 50.000+'dır (23.09.2026). Bu sayılar, çok duraklı sıra için ücretsiz ve ücretli seçeneklerin yaygın olduğunu göstermektedir; MotoMap'in hedeflediği fark, sıranın motosiklet süresiyle kurulması ve işletme paneline bağlanmasıdır (İş Planı 2.2).</w:t>
      </w:r>
    </w:p>
    <w:p>
      <w:pPr>
        <w:pStyle w:val="Heading2"/>
        <w:keepNext/>
        <w:spacing w:after="80" w:before="180"/>
      </w:pPr>
      <w:r>
        <w:rPr>
          <w:rFonts w:ascii="Arial" w:cs="Arial" w:eastAsia="Arial" w:hAnsi="Arial"/>
          <w:b/>
          <w:bCs/>
          <w:i w:val="false"/>
          <w:iCs w:val="false"/>
          <w:color w:val="000000"/>
          <w:sz w:val="21"/>
          <w:szCs w:val="21"/>
        </w:rPr>
        <w:t xml:space="preserve">H.5.4 Kurye işletmesi</w:t>
      </w:r>
    </w:p>
    <w:p>
      <w:pPr>
        <w:spacing w:after="90"/>
      </w:pPr>
      <w:r>
        <w:rPr>
          <w:rFonts w:ascii="Arial" w:cs="Arial" w:eastAsia="Arial" w:hAnsi="Arial"/>
          <w:sz w:val="18"/>
          <w:szCs w:val="18"/>
        </w:rPr>
        <w:t xml:space="preserve">Kamuya açık içerikte işletme ya da operasyon yöneticisinin yazdığı öğe sayısı 7'dir. Bu çalışma, MotoMap'in ikinci ticari hattındaki müşteri (İş Planı 1.2) hakkında yalnız dolaylı kanıt sunmaktadır: çok duraklı kuryelerin sıra ve kilometre anlatımları ile bireysel kullanıcıların yıllık ve kurumsal toplu lisans talepleri (S4-0012, S4-0066). Satın alma kararını kimin verdiği, bugünkü planlama yöntemi ve ödeme isteği keşif görüşmelerinde sorulacaktır (Ek-K).</w:t>
      </w:r>
    </w:p>
    <w:p>
      <w:pPr>
        <w:pStyle w:val="Heading2"/>
        <w:keepNext/>
        <w:spacing w:after="80" w:before="180"/>
      </w:pPr>
      <w:r>
        <w:rPr>
          <w:rFonts w:ascii="Arial" w:cs="Arial" w:eastAsia="Arial" w:hAnsi="Arial"/>
          <w:b/>
          <w:bCs/>
          <w:i w:val="false"/>
          <w:iCs w:val="false"/>
          <w:color w:val="000000"/>
          <w:sz w:val="21"/>
          <w:szCs w:val="21"/>
        </w:rPr>
        <w:t xml:space="preserve">H.5.5 Fiyat ve ödeme isteği işaretleri</w:t>
      </w:r>
    </w:p>
    <w:p>
      <w:pPr>
        <w:spacing w:after="90"/>
      </w:pPr>
      <w:r>
        <w:rPr>
          <w:rFonts w:ascii="Arial" w:cs="Arial" w:eastAsia="Arial" w:hAnsi="Arial"/>
          <w:sz w:val="18"/>
          <w:szCs w:val="18"/>
        </w:rPr>
        <w:t xml:space="preserve">Yorumlarda geçen bireysel fiyatlar yorum tarihindeki ve katma değer vergisi (KDV) dahil fiyatlardır: rota planlayıcı için aylık 85 TL (S4-0037) ve 90 TL (S4-0079), bir ücretli sürüm için yaklaşık 130 TL, hız sınırlı süre hesabı yapan bir uygulamanın yıllık fiyatı için 200 TL. Ücretsiz sürümün 10 durak sınırı, deneme süresinden sonra ücret istenmesi ve ülkeye göre fiyatlandırma talebi (S2-0033) itiraz konuları arasındadır. Bir kullanıcı ise aylık 85 TL ile sınırsız rota alınmasını "efsane" olarak nitelemektedir.</w:t>
      </w:r>
    </w:p>
    <w:p>
      <w:pPr>
        <w:spacing w:after="90"/>
      </w:pPr>
      <w:r>
        <w:rPr>
          <w:rFonts w:ascii="Arial" w:cs="Arial" w:eastAsia="Arial" w:hAnsi="Arial"/>
          <w:sz w:val="18"/>
          <w:szCs w:val="18"/>
        </w:rPr>
        <w:t xml:space="preserve">Ücretli uygulamaya açık itiraz (D2) ve zaman kazanmak için motosiklete geçiş anlatımı (M1) dörder öğede geçmektedir; ikisi de nadirdir. Bu nedenle içerik analizi ödeme isteği için yalnız yön verir. Ödeme isteği en az 150 sürücü ve 100 kuryeyle yapılacak ankette ve ödeme duvarındaki deneylerde ölçülecektir (İş Planı 2.3; Ek-K).</w:t>
      </w:r>
    </w:p>
    <w:p>
      <w:pPr>
        <w:pStyle w:val="Heading2"/>
        <w:keepNext/>
        <w:spacing w:after="80" w:before="180"/>
      </w:pPr>
      <w:r>
        <w:rPr>
          <w:rFonts w:ascii="Arial" w:cs="Arial" w:eastAsia="Arial" w:hAnsi="Arial"/>
          <w:b/>
          <w:bCs/>
          <w:i w:val="false"/>
          <w:iCs w:val="false"/>
          <w:color w:val="000000"/>
          <w:sz w:val="21"/>
          <w:szCs w:val="21"/>
        </w:rPr>
        <w:t xml:space="preserve">H.5.6 Güvenlik, gizlilik ve güven</w:t>
      </w:r>
    </w:p>
    <w:p>
      <w:pPr>
        <w:spacing w:after="90"/>
      </w:pPr>
      <w:r>
        <w:rPr>
          <w:rFonts w:ascii="Arial" w:cs="Arial" w:eastAsia="Arial" w:hAnsi="Arial"/>
          <w:sz w:val="18"/>
          <w:szCs w:val="18"/>
        </w:rPr>
        <w:t xml:space="preserve">Kuryeler, uygulamanın hız sınırı uyarısı nedeniyle pasife alınma korkusuyla sürekli ekrana baktıklarını ve yola ya da aynalara bakamadıklarını yazmaktadır (S3R-0126). Bir kurye uygulamasındaki "300 metre" teslim onay kuralının kazalara yol açtığı (S3R-0289) ve kaza bildiren kuryenin performans sıralamasında düşürüldüğü de anlatılmaktadır. Gizlilik konusunda arka planda sürekli konum izni istenmesine itiraz (S2-0127) ve kurye uygulamasının kapalıyken de veri aktardığı kaygısı yer almaktadır. Sözlükteki sürücü başlıklarında en sık tema motosikletli ile otomobil sürücüsü arasındaki çatışmadır (80/118).</w:t>
      </w:r>
    </w:p>
    <w:p>
      <w:pPr>
        <w:spacing w:after="90"/>
      </w:pPr>
      <w:r>
        <w:rPr>
          <w:rFonts w:ascii="Arial" w:cs="Arial" w:eastAsia="Arial" w:hAnsi="Arial"/>
          <w:sz w:val="18"/>
          <w:szCs w:val="18"/>
        </w:rPr>
        <w:t xml:space="preserve">Bu anlatımlar ürün kurallarının dayanağıdır: MotoMap kuryeye hız hedefi göstermez, kuryeleri hıza göre sıralamaz, işletmeye kurye bazında hız raporu vermez; yönlendirme sesli ve dokunmasızdır, aktif sürüş sırasında reklam gösterilmez (İş Planı 1.8, 2.7, 3.5).</w:t>
      </w:r>
    </w:p>
    <w:p>
      <w:pPr>
        <w:pStyle w:val="Heading2"/>
        <w:keepNext/>
        <w:spacing w:after="80" w:before="180"/>
      </w:pPr>
      <w:r>
        <w:rPr>
          <w:rFonts w:ascii="Arial" w:cs="Arial" w:eastAsia="Arial" w:hAnsi="Arial"/>
          <w:b/>
          <w:bCs/>
          <w:i w:val="false"/>
          <w:iCs w:val="false"/>
          <w:color w:val="000000"/>
          <w:sz w:val="21"/>
          <w:szCs w:val="21"/>
        </w:rPr>
        <w:t xml:space="preserve">H.5.7 Karşı kanıtlar</w:t>
      </w:r>
    </w:p>
    <w:p>
      <w:pPr>
        <w:pStyle w:val="ListParagraph"/>
        <w:numPr>
          <w:ilvl w:val="0"/>
          <w:numId w:val="2"/>
        </w:numPr>
        <w:spacing w:after="50"/>
      </w:pPr>
      <w:r>
        <w:rPr>
          <w:rFonts w:ascii="Arial" w:cs="Arial" w:eastAsia="Arial" w:hAnsi="Arial"/>
          <w:sz w:val="18"/>
          <w:szCs w:val="18"/>
        </w:rPr>
        <w:t xml:space="preserve">Ücretsiz uygulamaları yeterli bulan yorumlar sıktır. Genel navigasyon uygulamalarına yorum yazan kuryelerin 31/64'ü memnuniyet bildirmektedir; memnun yorumların 12'sinde adres, bina ya da sokak ayrıntısı açıkça övülmektedir. Bir kurye bir harita uygulaması olmadan işini sürdüremeyeceğini yazmaktadır (S1-0157).</w:t>
      </w:r>
    </w:p>
    <w:p>
      <w:pPr>
        <w:pStyle w:val="ListParagraph"/>
        <w:numPr>
          <w:ilvl w:val="0"/>
          <w:numId w:val="2"/>
        </w:numPr>
        <w:spacing w:after="50"/>
      </w:pPr>
      <w:r>
        <w:rPr>
          <w:rFonts w:ascii="Arial" w:cs="Arial" w:eastAsia="Arial" w:hAnsi="Arial"/>
          <w:sz w:val="18"/>
          <w:szCs w:val="18"/>
        </w:rPr>
        <w:t xml:space="preserve">Yorumlar tek bir genel uygulamayı ayırmamaktadır: Kimi sürücü bir uygulamayı yönlendirmede, kimi başka bir uygulamayı kapalı sokaklarda daha iyi bulmaktadır.</w:t>
      </w:r>
    </w:p>
    <w:p>
      <w:pPr>
        <w:pStyle w:val="ListParagraph"/>
        <w:numPr>
          <w:ilvl w:val="0"/>
          <w:numId w:val="2"/>
        </w:numPr>
        <w:spacing w:after="50"/>
      </w:pPr>
      <w:r>
        <w:rPr>
          <w:rFonts w:ascii="Arial" w:cs="Arial" w:eastAsia="Arial" w:hAnsi="Arial"/>
          <w:sz w:val="18"/>
          <w:szCs w:val="18"/>
        </w:rPr>
        <w:t xml:space="preserve">Rota planlayıcı kullanıcılarında memnuniyet sıktır (38/87); yeni yerli motosiklet uygulamalarının az sayıdaki ilk yorumu olumludur.</w:t>
      </w:r>
    </w:p>
    <w:p>
      <w:pPr>
        <w:pStyle w:val="ListParagraph"/>
        <w:numPr>
          <w:ilvl w:val="0"/>
          <w:numId w:val="2"/>
        </w:numPr>
        <w:spacing w:after="50"/>
      </w:pPr>
      <w:r>
        <w:rPr>
          <w:rFonts w:ascii="Arial" w:cs="Arial" w:eastAsia="Arial" w:hAnsi="Arial"/>
          <w:sz w:val="18"/>
          <w:szCs w:val="18"/>
        </w:rPr>
        <w:t xml:space="preserve">Bazı sürücüler motosikletin zaman kazanmak için kullanılmaması gerektiğini savunmaktadır; aynı yazar çok sıkışık trafikte şerit arası geçişle bir miktar zaman kazanılabileceğini kabul etmektedir (S5R-0033). Sıkışıklıkta süre farkı bu kitleye güvenlik diliyle anlatılır; MotoMap şerit arası ilerlemeyi rota avantajı olarak önermez (İş Planı 1.7).</w:t>
      </w:r>
    </w:p>
    <w:p>
      <w:pPr>
        <w:pStyle w:val="ListParagraph"/>
        <w:numPr>
          <w:ilvl w:val="0"/>
          <w:numId w:val="2"/>
        </w:numPr>
        <w:spacing w:after="50"/>
      </w:pPr>
      <w:r>
        <w:rPr>
          <w:rFonts w:ascii="Arial" w:cs="Arial" w:eastAsia="Arial" w:hAnsi="Arial"/>
          <w:sz w:val="18"/>
          <w:szCs w:val="18"/>
        </w:rPr>
        <w:t xml:space="preserve">Kuryelerin sipariş takip ekranında "olabilecek en kötü rotayı" seçtiği gözlemi (S5K-0240) tek bir müşterinin gözlemidir; sıralama ihtiyacını destekler, tek başına kanıt sayılmaz.</w:t>
      </w:r>
    </w:p>
    <w:p>
      <w:pPr>
        <w:pStyle w:val="Heading2"/>
        <w:keepNext/>
        <w:spacing w:after="80" w:before="180"/>
      </w:pPr>
      <w:r>
        <w:rPr>
          <w:rFonts w:ascii="Arial" w:cs="Arial" w:eastAsia="Arial" w:hAnsi="Arial"/>
          <w:b/>
          <w:bCs/>
          <w:i w:val="false"/>
          <w:iCs w:val="false"/>
          <w:color w:val="000000"/>
          <w:sz w:val="21"/>
          <w:szCs w:val="21"/>
        </w:rPr>
        <w:t xml:space="preserve">H.5.8 Bağlam: kamuya açık raporlar ve yazın</w:t>
      </w:r>
    </w:p>
    <w:p>
      <w:pPr>
        <w:spacing w:after="90"/>
      </w:pPr>
      <w:r>
        <w:rPr>
          <w:rFonts w:ascii="Arial" w:cs="Arial" w:eastAsia="Arial" w:hAnsi="Arial"/>
          <w:sz w:val="18"/>
          <w:szCs w:val="18"/>
        </w:rPr>
        <w:t xml:space="preserve">Kurye Hakları Derneğinin "Moto Kurye Ölümleri Raporu 2025"ine göre 2025'te en az 44 kurye çalışırken hayatını kaybetmiştir (2024'te en az 63); ölenlerin %61'i 18–28 yaş aralığındadır. Ölenlerin 22'si platform şirketlerinde, 22'si restoran ve yerel işletmelerde çalışmaktadır. Rapor paket başı ödemeyi, hız temelli prim sistemini ve algoritmik denetimi ölüm riskleri arasında saymakta; sipariş yetiştirme baskısını ve algoritmik süreleri ise mola verememenin ve meslek hastalıklarının nedeni olarak anmaktadır. Raporun verisi basın taramasına dayandığından sayılar alt sınırdır ve Türkiye'de kurye ölümlerini kaydeden resmî bir istatistik bulunmamaktadır (İş Planı 1.8). İSİG Meclisi 2024 için en az 64 moto kurye ölümü bildirmiştir. Esnaf kuryeler, yılbaşı ücret düzenlemelerini yetersiz bularak 18–20 Ocak 2026'da üç günlük "kontak kapatma" eylemi yapmıştır.</w:t>
      </w:r>
    </w:p>
    <w:p>
      <w:pPr>
        <w:spacing w:after="90"/>
      </w:pPr>
      <w:r>
        <w:rPr>
          <w:rFonts w:ascii="Arial" w:cs="Arial" w:eastAsia="Arial" w:hAnsi="Arial"/>
          <w:sz w:val="18"/>
          <w:szCs w:val="18"/>
        </w:rPr>
        <w:t xml:space="preserve">Hakemli çalışmalar bu ekteki kurye bulgularıyla aynı yönü göstermektedir. İstanbul'da 20 moto kuryeyle yapılan görüşmelerde katılımcıların %84'ü haftada 67 saat ve üzeri çalıştığını, ücretin dağıtılan paket sayısına bağlı olduğunu aktarmıştır (Yertüm ve Balcı, 2023). On iki kuryeyle yapılan nitel çalışmada uzun mesai, hızlı teslimat baskısı ve trafikte yok sayılma öne çıkmıştır (Kavurmacı, 2023). 750 moto kurye ve 20 iş sağlığı ve güvenliği uzmanıyla yapılan araştırmada uzmanların tamamı işi çok riskli, önlemleri yetersiz bulmuştur (Cerev, Sarıipek ve Elçi, 2024). YouTube'daki 100 kurye anlatısını inceleyen netnografik çalışma algoritmik denetimi ve riskin kuryeye devrini tema olarak bulmuştur (Efe, 2026); bu çalışma, S7 akışının yöntemine Türkiye'den bir emsaldir. 2015–2024 arasındaki 874 haberin incelendiği çalışmada kazaların %65'i bireysel etkenlere, %8'i platform ve işveren sorumluluğuna bağlanmıştır (Budak, Yaşar ve Budak, 2026); bu dağılım, sözlükteki toplumsal algı temasıyla (K13) aynı yöndedir. İstanbul ve Ankara'daki dokuz hastanenin 2020–2022 kayıtlarında 857 kuryeyle ilişkili trafik yaralanması tespit edilmiştir (Köker vd., 2026).</w:t>
      </w:r>
    </w:p>
    <w:p>
      <w:pPr>
        <w:spacing w:after="90"/>
      </w:pPr>
      <w:r>
        <w:rPr>
          <w:rFonts w:ascii="Arial" w:cs="Arial" w:eastAsia="Arial" w:hAnsi="Arial"/>
          <w:sz w:val="18"/>
          <w:szCs w:val="18"/>
        </w:rPr>
        <w:t xml:space="preserve">Motosiklet süresine ilişkin yazın, H.5.1'deki iki yönlü sapma anlatımıyla tutarlıdır. Londra'da sıkışık saatlerde kaydedilen 2.109 aracın yörüngelerinde motosikletlerin otomobillerden hızlı ilerlediği ve daha kısa takip aralığı bıraktığı gözlenmiştir (Lee vd., 2012). Kentte serbest akışta da motosiklet otomobilden hızlıdır ve motosiklet hızını otomobil hızından kestiren bir denklem önerilmiştir (Perco, 2008); bu yaklaşım, MotoMap'in canlı otomobil hızına motosiklete özgü fark ekleme yönteminin yazındaki karşılığıdır (İş Planı 1.1). Belçika'da 50–90 km/sa'lik yollarda motosikletlerin hızı otomobilden 6–8 km/sa yüksek, otoyolda ise farksız ölçülmüştür (Temmerman ve Roynard, 2016); bu nedenle "açık yolda motosiklet daha yavaştır" genellemesi yapılmaz. Türkiye'de şehir dışı yollarda motosiklet hız sınırları otomobilinkinden düşüktür (çift yönlü yolda 80 ve 90 km/sa, bölünmüş yolda 90 ve 110 km/sa, otoyolda 100 ve 120 km/sa); kurala uyan motosikletli için bu fark tek başına otomobil süresini 1,13–1,22 kat uzatır (Karayolları Trafik Yönetmeliği md. 100; hesap). S9-0112'deki 53 dakikalık yolun yaklaşık 90 dakika sürmesi (1,7 kat) bu aralığın üzerindedir ve tek bir anlatımdır. Google'ın iki tekerlekli süre modelinin yöntemi yayımlanmamıştır; Routes API'nin iki tekerlekli kapsam listesinde Türkiye yer almamaktadır (Google Maps Platform, 24.09.2026). Cakarta'da çalışan araştırmacılar, uygulama programlama arayüzü motosiklet süresi vermediği için motosiklet hızını otomobil hızına 3 km/sa ekleyerek varsaymak zorunda kalmıştır (Bastarianto vd., 2025).</w:t>
      </w:r>
    </w:p>
    <w:p>
      <w:pPr>
        <w:spacing w:after="90"/>
      </w:pPr>
      <w:r>
        <w:rPr>
          <w:rFonts w:ascii="Arial" w:cs="Arial" w:eastAsia="Arial" w:hAnsi="Arial"/>
          <w:sz w:val="18"/>
          <w:szCs w:val="18"/>
        </w:rPr>
        <w:t xml:space="preserve">Sürüşte kullanım bulguları (N6) da yazınla aynı yöndedir. Simülatör çalışmasında kaska takılı göstergede sakıncalı uzun bakışlar telefona göre %45 daha az bulunmuştur (Grahn ve Kujala, 2018). Yedi dilde 6.297 Avrupalı sürücüyle yapılan ankette sürücü destek sistemlerinin kabulü düşük, sürüşe müdahale etmeyen sistemlerin kabulü en yüksek çıkmıştır (Beanland vd., 2013). Bu bulgu, rota önerisinin sürücü onayı olmadan uygulanmaması ilkesiyle uyumludur (H.6).</w:t>
      </w:r>
    </w:p>
    <w:p>
      <w:pPr>
        <w:pStyle w:val="Heading2"/>
        <w:keepNext/>
        <w:spacing w:after="80" w:before="180"/>
      </w:pPr>
      <w:r>
        <w:rPr>
          <w:rFonts w:ascii="Arial" w:cs="Arial" w:eastAsia="Arial" w:hAnsi="Arial"/>
          <w:b/>
          <w:bCs/>
          <w:i w:val="false"/>
          <w:iCs w:val="false"/>
          <w:color w:val="000000"/>
          <w:sz w:val="21"/>
          <w:szCs w:val="21"/>
        </w:rPr>
        <w:t xml:space="preserve">H.5.9 Seçilmiş alıntılar</w:t>
      </w:r>
    </w:p>
    <w:p>
      <w:pPr>
        <w:spacing w:after="90"/>
      </w:pPr>
      <w:r>
        <w:rPr>
          <w:rFonts w:ascii="Arial" w:cs="Arial" w:eastAsia="Arial" w:hAnsi="Arial"/>
          <w:sz w:val="18"/>
          <w:szCs w:val="18"/>
        </w:rPr>
        <w:t xml:space="preserve">Alıntılar kişiyi tanınmaz kılacak biçimde yeniden yazılmıştır. Özgün metin ve öğe düzeyindeki bağlantı, denetim dosyasında kayıt numarasıyla saklanmaktadır. YouTube yorumlarının tarihi yaklaşıktır.</w:t>
      </w:r>
    </w:p>
    <w:p>
      <w:pPr>
        <w:keepNext/>
        <w:spacing w:after="60" w:before="140"/>
      </w:pPr>
      <w:r>
        <w:rPr>
          <w:rFonts w:ascii="Arial" w:cs="Arial" w:eastAsia="Arial" w:hAnsi="Arial"/>
          <w:b/>
          <w:bCs/>
          <w:sz w:val="18"/>
          <w:szCs w:val="18"/>
        </w:rPr>
        <w:t xml:space="preserve">Tablo H-8. Seçilmiş alıntılar (parafraz)</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1089"/>
        <w:gridCol w:w="2179"/>
        <w:gridCol w:w="1386"/>
        <w:gridCol w:w="4163"/>
      </w:tblGrid>
      <w:tr>
        <w:trPr>
          <w:cantSplit/>
          <w:tblHeader/>
        </w:trPr>
        <w:tc>
          <w:tcPr>
            <w:tcW w:type="dxa" w:w="108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Kayıt</w:t>
            </w:r>
          </w:p>
        </w:tc>
        <w:tc>
          <w:tcPr>
            <w:tcW w:type="dxa" w:w="108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13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Tema</w:t>
            </w:r>
          </w:p>
        </w:tc>
        <w:tc>
          <w:tcPr>
            <w:tcW w:type="dxa" w:w="416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Parafraz</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S1-0041</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27.06.2024</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Haritalar,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Otomobil mantığı</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Trafik yoğun olduğunda uygulamanın 23 km'lik yolu 54 km'ye çıkardığı ve bunun motosiklete bir avantaj sağlamadığı belirtilmektedir.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S9-0143</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06.06.2023</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motosiklet.net</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Otomobil mantığı</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Uygulamanın kararlarını sürekli trafiğe göre verdiği ve motosikletin TEM otoyolundan doğrudan gidebileceğini hesaba katmadığı yazılmaktadır.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S1-0013</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30.04.2023</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Haritalar,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Uygunsuz rota</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rotayı belirtmesine rağmen motosiklete yasak Avrasya Tüneli'ne yönlendirildiğini yazmaktadır.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S6-0103</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08.06.2026</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Reddit</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Uygunsuz rota, güvenlik</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Navigasyonun dağ yoluna yönlendirdiği ve akşam saatinde toprak yolda motosikletin kaydığı anlatılmaktadır.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S9-0147</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02.04.2024</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motosiklet.net</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Sürüşte kullanım</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"Daha kısa rota bulundu" uyarısını reddetmek için motosikleti durdurup eldiveni çıkarması gerektiği anlatılmaktadır.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S1-0084</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05.03.2026</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Haritalar,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Sürüşte kullanım</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Yön adlı talimatların sürüşte zor izlendiği belirtilmekte; motosiklet seçeneği ve "sağdaki 2. çıkış" türünde talimat istenmektedir.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S3N-0308</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14.05.2026</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yemek platformunun kurye uygulaması, App Store</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 (kent içi)</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navigasyonunun normal trafik akışına göre ilerlediği ve kuryelerin hızına yetişemediği yazılmaktadır.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S9-0112</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21.09.2025</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motosiklet.net</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 (açık yol)</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Google'da 53 dakika görünen yolun 125 cc motosikletle yaklaşık 90 dakika sürdüğü aktarılmaktadır.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S1-0144</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01.02.2025</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Yandex Navigator,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arızası</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esnaf kurye, kurye uygulamasının haritayı otomatik açtığını ve günde yaklaşık 25 açılıştan sonra haritanın açılmadığını yazmaktadır.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S4-0026</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09.12.2024</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planlayıcı,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arızası</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Yaklaşık 50 adresten sonra harita uygulamasının üçüncü taraf uygulamadan iletilen adrese gitme sınırına ulaşıldığını bildirdiği yazılmaktadır.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S3N-0244</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28.05.2025</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yemek platformunun kurye uygulaması,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Trafik cezası</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Güncellemeden sonra navigasyonun kestirme diye ters şeride soktuğu ve kuryenin 900 TL trafik cezası aldığı yazılmaktadır.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S3N-0124</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24.08.2025</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hızlı market platformunun kurye uygulaması,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Zaman kaybı, sıra</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Üç siparişin birinci ve üçüncüsü aynı yerdeyken ikincisinin 10 km uzakta olduğu ve kuryenin önce uzağa gönderilip geri getirildiği yazılmaktadır.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S3N-0254</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04.08.2025</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yemek platformunun kurye uygulaması,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Zaman kaybı</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300 metredeki adrese 4 km'lik yoldan götürüldüğü yazılmaktadır.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S3N-0047</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15.09.2026</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kurye firmasının uygulaması,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Kazanç baskısı</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Müşteriden müşteriye en az 40–50 km'lik iş için 150–180 TL ödendiği, yakıt ve vergi sonrasında 20–30 TL kaldığı yazılmaktadır.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S3N-0104</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25.12.2024</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hızlı market platformunun kurye uygulaması,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Kazanç baskısı, sıra</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Kendi aracıyla çalışan kurye, ters atama nedeniyle aylık yakıt giderinin 7–8 bin TL'den 13–14 bin TL'ye çıktığını yazmaktadır (beyan).</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S3N-0073</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18.10.2023</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uygulama,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Sıra</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Birleşik siparişlerin adreslerinin görünmesi ve yakından uzağa sıralamanın seçilebilmesi istenmektedir.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S3N-0304</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06.08.2026</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market zincirinin kurye uygulaması,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Sıra ve süre</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Uygulamaya tahmini varış süresi eklendiği, ancak sıranın sabit kaldığı ve kuryenin müşterinin kapısının önünden geçtiği hâlde teslim edemediği yazılmaktadır.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S7-0239</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2024–2025 (yaklaşık)</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YouTube yorumu</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Çok duraklı tur</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Deneyimi 12 yıl olan bir kargo dağıtıcısı 40 mahallede günde 200 paket dağıttığını ve 130 km yol yaptığını aktarmaktadır.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S7-0202</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2024–2025 (yaklaşık)</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YouTube yorumu</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Sıra</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Barkodlar okutulduğunda sistemin otomatik sıra verdiği, nereden başlanacağına ise kuryenin karar verdiği aktarılmaktadır.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S3R-0126</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04.02.2026</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hızlı market platformunun kurye uygulaması,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Güvenlik</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hız sınırı uyarısı nedeniyle pasife alınma korkusuyla sürekli telefona baktığını, yola ve aynalara bakamadığını yazmaktadır.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S4-0037</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27.09.2025</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planlayıcı,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Fiyat, olumlu</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Aylık 85 TL ile sınırsız rota alınması "efsane" olarak nitelenmektedir.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S4-0079</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19.10.2024</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planlayıcı,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Fiyat, itiraz</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henüz adres girmeden aylık 90 TL ücretle karşılaşmasına tepki göstermektedir.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S1-0157</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24.10.2025</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Yandex Navigator,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Karşı kanıt</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kurye, harita uygulaması olmadan işini sürdüremeyeceğini yazmaktadır.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S1-0108</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23.06.2025</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Yandex Maps, Google Play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Karşı kanıt</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kurye, uygulamanın binanın şeklini, girişini ve alışveriş merkezinin otopark girişini gösterdiğini, adres bulmada tam isabet sağladığını yazmaktadır.</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S5R-0033</w:t>
            </w:r>
          </w:p>
        </w:tc>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13.09.2024</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Ekşi Sözlük</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Karşı görüş</w:t>
            </w:r>
          </w:p>
        </w:tc>
        <w:tc>
          <w:tcPr>
            <w:tcW w:type="dxa" w:w="41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Motosikletin otomobilden hızlı gitmek için alınmaması gerektiği ve her boşluğa giren sürücünün eninde sonunda kaza yapacağı savunulmakta; çok sıkışık trafikte şerit arası geçişle bir miktar zaman kazanılabileceği kabul edilmektedir.</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H.6 İş planına yansıması ve müşteri hipotezleri</w:t>
      </w:r>
    </w:p>
    <w:p>
      <w:pPr>
        <w:spacing w:after="90"/>
      </w:pPr>
      <w:r>
        <w:rPr>
          <w:rFonts w:ascii="Arial" w:cs="Arial" w:eastAsia="Arial" w:hAnsi="Arial"/>
          <w:sz w:val="18"/>
          <w:szCs w:val="18"/>
        </w:rPr>
        <w:t xml:space="preserve">Tablo H-9, iş planında Ek-H'ye atıf yapan ifadeleri bu ekteki kanıtla eşleştirmektedir.</w:t>
      </w:r>
    </w:p>
    <w:p>
      <w:pPr>
        <w:keepNext/>
        <w:spacing w:after="60" w:before="140"/>
      </w:pPr>
      <w:r>
        <w:rPr>
          <w:rFonts w:ascii="Arial" w:cs="Arial" w:eastAsia="Arial" w:hAnsi="Arial"/>
          <w:b/>
          <w:bCs/>
          <w:sz w:val="18"/>
          <w:szCs w:val="18"/>
        </w:rPr>
        <w:t xml:space="preserve">Tablo H-9. İş planındaki ifadeler ve dayanakları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8"/>
        <w:gridCol w:w="3962"/>
        <w:gridCol w:w="4756"/>
      </w:tblGrid>
      <w:tr>
        <w:trPr>
          <w:cantSplit/>
          <w:tblHeader/>
        </w:trPr>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Alan</w:t>
            </w:r>
          </w:p>
        </w:tc>
        <w:tc>
          <w:tcPr>
            <w:tcW w:type="dxa" w:w="39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İş planındaki ifade (özet)</w:t>
            </w:r>
          </w:p>
        </w:tc>
        <w:tc>
          <w:tcPr>
            <w:tcW w:type="dxa" w:w="475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Ekteki dayanak</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Sıkışık trafikte süre motosiklet için uzun, açık yolda düşük motor hacimli motosiklet için kısa kalabilmekte; önerilen rota motosiklete uygun olmayan yollara sapabilmektedir.</w:t>
            </w:r>
          </w:p>
        </w:tc>
        <w:tc>
          <w:tcPr>
            <w:tcW w:type="dxa" w:w="47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H.5.1: S3N-0308, S9-0112, S9-0113; uygunsuz rota S1 sürücü 9/52, S8N 6/14; S1-0013, S1-0165, S6-0103</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Sürücü şikâyetlerinde otomobil odaklı yönlendirme öne çıkmaktadır.</w:t>
            </w:r>
          </w:p>
        </w:tc>
        <w:tc>
          <w:tcPr>
            <w:tcW w:type="dxa" w:w="47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H-5: 39/52 (%75,0)</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içeriklerinde uygulama arızaları, trafik cezaları, zaman kaybı ve kazanç baskısı öne çıkan sorunlardır.</w:t>
            </w:r>
          </w:p>
        </w:tc>
        <w:tc>
          <w:tcPr>
            <w:tcW w:type="dxa" w:w="47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H-6 ve H-7: uygulama arızası 148/260, kazanç 60/260 ve 90/138. Öne çıkan ceza teması platform cezası ve hesap kapatmadır (K7); trafik cezası örnek düzeyindedir (S3N-0244). Zaman kaybı mesafe ve sıra anlatımlarındadır.</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Nitel analiz müşteri ihtiyaçlarının yönünü göstermiştir.</w:t>
            </w:r>
          </w:p>
        </w:tc>
        <w:tc>
          <w:tcPr>
            <w:tcW w:type="dxa" w:w="47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H.4 ve H.5; ödeme isteği ve yaygınlık bu ekte ölçülmemiştir (Tablo H-1)</w:t>
            </w:r>
          </w:p>
        </w:tc>
      </w:tr>
    </w:tbl>
    <w:p>
      <w:pPr>
        <w:spacing w:after="60"/>
      </w:pPr>
    </w:p>
    <w:p>
      <w:pPr>
        <w:spacing w:after="90"/>
      </w:pPr>
      <w:r>
        <w:rPr>
          <w:rFonts w:ascii="Arial" w:cs="Arial" w:eastAsia="Arial" w:hAnsi="Arial"/>
          <w:sz w:val="18"/>
          <w:szCs w:val="18"/>
        </w:rPr>
        <w:t xml:space="preserve">Müşteri hipotezleri, doğruluk protokolünün hipotezlerinden ayrılması için MH koduyla numaralanmıştır. Hipotezlerin görüşme ve anketle sınanması, önceden yazılmış çürütme ölçütleriyle birlikte Ek-K'de yer almaktadır.</w:t>
      </w:r>
    </w:p>
    <w:p>
      <w:pPr>
        <w:keepNext/>
        <w:spacing w:after="60" w:before="140"/>
      </w:pPr>
      <w:r>
        <w:rPr>
          <w:rFonts w:ascii="Arial" w:cs="Arial" w:eastAsia="Arial" w:hAnsi="Arial"/>
          <w:b/>
          <w:bCs/>
          <w:sz w:val="18"/>
          <w:szCs w:val="18"/>
        </w:rPr>
        <w:t xml:space="preserve">Tablo H-10. Müşteri hipotezleri ve içerik analizinin bulgusu</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6"/>
        <w:gridCol w:w="3962"/>
        <w:gridCol w:w="2378"/>
      </w:tblGrid>
      <w:tr>
        <w:trPr>
          <w:cantSplit/>
          <w:tblHeader/>
        </w:trPr>
        <w:tc>
          <w:tcPr>
            <w:tcW w:type="dxa" w:w="356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Hipotez</w:t>
            </w:r>
          </w:p>
        </w:tc>
        <w:tc>
          <w:tcPr>
            <w:tcW w:type="dxa" w:w="39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İçerik analizinin bulgusu</w:t>
            </w:r>
          </w:p>
        </w:tc>
        <w:tc>
          <w:tcPr>
            <w:tcW w:type="dxa" w:w="23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Bugünkü durum</w:t>
            </w:r>
          </w:p>
        </w:tc>
      </w:tr>
      <w:tr>
        <w:trPr>
          <w:cantSplit/>
          <w:tblHeader w:val="off"/>
        </w:trPr>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MH1: Turunu kendisi planlayan çok duraklı kurye işletmesinde tur sırası sık yaşanan ve maliyeti olan bir sorundur</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Kargo, evrak ve eczane kuryeleri sırayı işin merkezinde anlatmaktadır; rota planlayıcı kullanımı yaygındır; işletme yöneticisi görüşü 7 öğeyle sınırlıdır</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 desteklenmektedir; karar vericiye ilişkin kanıt yoktur</w:t>
            </w:r>
          </w:p>
        </w:tc>
      </w:tr>
      <w:tr>
        <w:trPr>
          <w:cantSplit/>
          <w:tblHeader w:val="off"/>
        </w:trPr>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MH2: Satın alma kararını belirli ve ulaşılabilir bir kişi verir</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bulunmamaktadır</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Sınanmamıştır</w:t>
            </w:r>
          </w:p>
        </w:tc>
      </w:tr>
      <w:tr>
        <w:trPr>
          <w:cantSplit/>
          <w:tblHeader w:val="off"/>
        </w:trPr>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MH3: Günlük sürücü otomobil mantığıyla yönlendirilmekten ya da süre sapmasından düzenli olarak etkilenir</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Sürücü yorumlarında en sık şikâyet otomobil mantığıdır; olayların sıklığı bilinmemektedir</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Yön desteklenmektedir; sıklık bilinmemektedir</w:t>
            </w:r>
          </w:p>
        </w:tc>
      </w:tr>
      <w:tr>
        <w:trPr>
          <w:cantSplit/>
          <w:tblHeader w:val="off"/>
        </w:trPr>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MH4: Bireysel sürücü Gold için aylık 99 TL'yi (KDV dahil), işletme kurye başına aylık 225 TL + KDV'yi kabul edilebilir bulur</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Fiyat itirazı da ödeme de görülmektedir; yorumlarda anılan fiyatlar aylık 85–130 TL'dir</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Belirsizdir</w:t>
            </w:r>
          </w:p>
        </w:tc>
      </w:tr>
      <w:tr>
        <w:trPr>
          <w:cantSplit/>
          <w:tblHeader w:val="off"/>
        </w:trPr>
        <w:tc>
          <w:tcPr>
            <w:tcW w:type="dxa" w:w="35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MH5: Platform kuryesi sıra ve süre için bireysel ücretli uygulama alır</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Sırayı platform belirlemektedir; kuryenin şikâyet konuları arıza, ceza ve kazançtır; bütçe dardır</w:t>
            </w:r>
          </w:p>
        </w:tc>
        <w:tc>
          <w:tcPr>
            <w:tcW w:type="dxa" w:w="23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Zayıflamaktadır</w:t>
            </w:r>
          </w:p>
        </w:tc>
      </w:tr>
    </w:tbl>
    <w:p>
      <w:pPr>
        <w:spacing w:after="60"/>
      </w:pPr>
    </w:p>
    <w:p>
      <w:pPr>
        <w:spacing w:after="90"/>
      </w:pPr>
      <w:r>
        <w:rPr>
          <w:rFonts w:ascii="Arial" w:cs="Arial" w:eastAsia="Arial" w:hAnsi="Arial"/>
          <w:sz w:val="18"/>
          <w:szCs w:val="18"/>
        </w:rPr>
        <w:t xml:space="preserve">İçerik analizinin plana yansıyan sonuçları şunlardır:</w:t>
      </w:r>
    </w:p>
    <w:p>
      <w:pPr>
        <w:pStyle w:val="ListParagraph"/>
        <w:numPr>
          <w:ilvl w:val="0"/>
          <w:numId w:val="2"/>
        </w:numPr>
        <w:spacing w:after="50"/>
      </w:pPr>
      <w:r>
        <w:rPr>
          <w:rFonts w:ascii="Arial" w:cs="Arial" w:eastAsia="Arial" w:hAnsi="Arial"/>
          <w:sz w:val="18"/>
          <w:szCs w:val="18"/>
        </w:rPr>
        <w:t xml:space="preserve">Adres aramada ve adres bulmada rekabet edilmez; kurye için değer sıra, motosiklete uygun süre ve dokunmasız yönlendirmededir (İş Planı 2.1).</w:t>
      </w:r>
    </w:p>
    <w:p>
      <w:pPr>
        <w:pStyle w:val="ListParagraph"/>
        <w:numPr>
          <w:ilvl w:val="0"/>
          <w:numId w:val="2"/>
        </w:numPr>
        <w:spacing w:after="50"/>
      </w:pPr>
      <w:r>
        <w:rPr>
          <w:rFonts w:ascii="Arial" w:cs="Arial" w:eastAsia="Arial" w:hAnsi="Arial"/>
          <w:sz w:val="18"/>
          <w:szCs w:val="18"/>
        </w:rPr>
        <w:t xml:space="preserve">Sürüş sırasında dokunma gerektiren her karar sesli ya da otomatiktir; rota önerisi sürücünün onayı olmadan rotayı değiştirmez.</w:t>
      </w:r>
    </w:p>
    <w:p>
      <w:pPr>
        <w:pStyle w:val="ListParagraph"/>
        <w:numPr>
          <w:ilvl w:val="0"/>
          <w:numId w:val="2"/>
        </w:numPr>
        <w:spacing w:after="50"/>
      </w:pPr>
      <w:r>
        <w:rPr>
          <w:rFonts w:ascii="Arial" w:cs="Arial" w:eastAsia="Arial" w:hAnsi="Arial"/>
          <w:sz w:val="18"/>
          <w:szCs w:val="18"/>
        </w:rPr>
        <w:t xml:space="preserve">Güvenli mod, motosiklete kapalı ve uygunsuz yolları (tünel yasağı, merdiven, toprak yol) dışarıda bırakır ve ücretsizdir (İş Planı 1.8, 2.3).</w:t>
      </w:r>
    </w:p>
    <w:p>
      <w:pPr>
        <w:pStyle w:val="ListParagraph"/>
        <w:numPr>
          <w:ilvl w:val="0"/>
          <w:numId w:val="2"/>
        </w:numPr>
        <w:spacing w:after="50"/>
      </w:pPr>
      <w:r>
        <w:rPr>
          <w:rFonts w:ascii="Arial" w:cs="Arial" w:eastAsia="Arial" w:hAnsi="Arial"/>
          <w:sz w:val="18"/>
          <w:szCs w:val="18"/>
        </w:rPr>
        <w:t xml:space="preserve">Süre modeli iki yönlü sapmayı ölçer: kent içi sıkışıklık ve açık yolda küçük hacimli motosiklet (İş Planı 2.2).</w:t>
      </w:r>
    </w:p>
    <w:p>
      <w:pPr>
        <w:pStyle w:val="ListParagraph"/>
        <w:numPr>
          <w:ilvl w:val="0"/>
          <w:numId w:val="2"/>
        </w:numPr>
        <w:spacing w:after="50"/>
      </w:pPr>
      <w:r>
        <w:rPr>
          <w:rFonts w:ascii="Arial" w:cs="Arial" w:eastAsia="Arial" w:hAnsi="Arial"/>
          <w:sz w:val="18"/>
          <w:szCs w:val="18"/>
        </w:rPr>
        <w:t xml:space="preserve">Kurumsal teklif kuryeye denetim veren bir araç olarak anlatılır: bütün adresleri görme, sırayı değiştirebilme ve yapılan kilometreyi görme. Kurye bazında hız raporu verilmez.</w:t>
      </w:r>
    </w:p>
    <w:p>
      <w:pPr>
        <w:pStyle w:val="ListParagraph"/>
        <w:numPr>
          <w:ilvl w:val="0"/>
          <w:numId w:val="2"/>
        </w:numPr>
        <w:spacing w:after="50"/>
      </w:pPr>
      <w:r>
        <w:rPr>
          <w:rFonts w:ascii="Arial" w:cs="Arial" w:eastAsia="Arial" w:hAnsi="Arial"/>
          <w:sz w:val="18"/>
          <w:szCs w:val="18"/>
        </w:rPr>
        <w:t xml:space="preserve">Platform kuryesi bireysel ücretli katmanın birincil hedefi olarak planlanmaz; çok duraklı özelliğin hedefi sıraya karar verebilen esnaf kurye ve işletmedir (İş Planı 1.2).</w:t>
      </w:r>
    </w:p>
    <w:p>
      <w:pPr>
        <w:pStyle w:val="Heading1"/>
        <w:keepNext/>
        <w:spacing w:after="100" w:before="260"/>
      </w:pPr>
      <w:r>
        <w:rPr>
          <w:rFonts w:ascii="Arial" w:cs="Arial" w:eastAsia="Arial" w:hAnsi="Arial"/>
          <w:b/>
          <w:bCs/>
          <w:i w:val="false"/>
          <w:iCs w:val="false"/>
          <w:color w:val="000000"/>
          <w:sz w:val="26"/>
          <w:szCs w:val="26"/>
        </w:rPr>
        <w:t xml:space="preserve">H.7 Sınırlılıklar</w:t>
      </w:r>
    </w:p>
    <w:p>
      <w:pPr>
        <w:pStyle w:val="ListParagraph"/>
        <w:numPr>
          <w:ilvl w:val="0"/>
          <w:numId w:val="4"/>
        </w:numPr>
        <w:spacing w:after="50"/>
      </w:pPr>
      <w:r>
        <w:rPr>
          <w:rFonts w:ascii="Arial" w:cs="Arial" w:eastAsia="Arial" w:hAnsi="Arial"/>
          <w:b/>
          <w:bCs/>
          <w:sz w:val="18"/>
          <w:szCs w:val="18"/>
        </w:rPr>
        <w:t xml:space="preserve">Tek kodlayıcı, yapay zekâ destekli.</w:t>
      </w:r>
      <w:r>
        <w:rPr>
          <w:rFonts w:ascii="Arial" w:cs="Arial" w:eastAsia="Arial" w:hAnsi="Arial"/>
          <w:sz w:val="18"/>
          <w:szCs w:val="18"/>
        </w:rPr>
        <w:t xml:space="preserve"> Kodlar ve parafrazlar tek geçişte üretilmiştir; insan ikinci kodlayıcıyla uyum ölçümü henüz yapılmamıştır. Uyum H.3.6'daki çift kodlamayla ölçülecektir.</w:t>
      </w:r>
    </w:p>
    <w:p>
      <w:pPr>
        <w:pStyle w:val="ListParagraph"/>
        <w:numPr>
          <w:ilvl w:val="0"/>
          <w:numId w:val="4"/>
        </w:numPr>
        <w:spacing w:after="50"/>
      </w:pPr>
      <w:r>
        <w:rPr>
          <w:rFonts w:ascii="Arial" w:cs="Arial" w:eastAsia="Arial" w:hAnsi="Arial"/>
          <w:b/>
          <w:bCs/>
          <w:sz w:val="18"/>
          <w:szCs w:val="18"/>
        </w:rPr>
        <w:t xml:space="preserve">Öz seçilim.</w:t>
      </w:r>
      <w:r>
        <w:rPr>
          <w:rFonts w:ascii="Arial" w:cs="Arial" w:eastAsia="Arial" w:hAnsi="Arial"/>
          <w:sz w:val="18"/>
          <w:szCs w:val="18"/>
        </w:rPr>
        <w:t xml:space="preserve"> Mağaza yorumu ve şikâyet yazanlar olumsuz deneyimi yazmaya eğilimlidir; şikâyet sitesindeki içerik tanımı gereği şikâyettir. Sıklıklar yazılanların dağılımını gösterir.</w:t>
      </w:r>
    </w:p>
    <w:p>
      <w:pPr>
        <w:pStyle w:val="ListParagraph"/>
        <w:numPr>
          <w:ilvl w:val="0"/>
          <w:numId w:val="4"/>
        </w:numPr>
        <w:spacing w:after="50"/>
      </w:pPr>
      <w:r>
        <w:rPr>
          <w:rFonts w:ascii="Arial" w:cs="Arial" w:eastAsia="Arial" w:hAnsi="Arial"/>
          <w:b/>
          <w:bCs/>
          <w:sz w:val="18"/>
          <w:szCs w:val="18"/>
        </w:rPr>
        <w:t xml:space="preserve">Sözcük süzgeçleri.</w:t>
      </w:r>
      <w:r>
        <w:rPr>
          <w:rFonts w:ascii="Arial" w:cs="Arial" w:eastAsia="Arial" w:hAnsi="Arial"/>
          <w:sz w:val="18"/>
          <w:szCs w:val="18"/>
        </w:rPr>
        <w:t xml:space="preserve"> Genel navigasyon akışında motosiklet ya da kurye sözcüğünü içermeyen motosikletli yorumları kapsam dışında kalmıştır: 2023 ve sonrasındaki 28.666 yorumun 171'inde bu sözcükler geçmektedir. Hedefli ve süzgeçli akışlar (S3N, S5N, S5R, S8N) yaygınlık için kullanılmaz.</w:t>
      </w:r>
    </w:p>
    <w:p>
      <w:pPr>
        <w:pStyle w:val="ListParagraph"/>
        <w:numPr>
          <w:ilvl w:val="0"/>
          <w:numId w:val="4"/>
        </w:numPr>
        <w:spacing w:after="50"/>
      </w:pPr>
      <w:r>
        <w:rPr>
          <w:rFonts w:ascii="Arial" w:cs="Arial" w:eastAsia="Arial" w:hAnsi="Arial"/>
          <w:b/>
          <w:bCs/>
          <w:sz w:val="18"/>
          <w:szCs w:val="18"/>
        </w:rPr>
        <w:t xml:space="preserve">Tarama sınırları.</w:t>
      </w:r>
      <w:r>
        <w:rPr>
          <w:rFonts w:ascii="Arial" w:cs="Arial" w:eastAsia="Arial" w:hAnsi="Arial"/>
          <w:sz w:val="18"/>
          <w:szCs w:val="18"/>
        </w:rPr>
        <w:t xml:space="preserve"> Google Play'de Google Haritalar ve Yandex Navigator için en yeni 30.000 yorum alınabilmiştir; bu kümelerin tam sayım olup olmadığı doğrulanamamıştır. Sözlükte başlık başına en fazla son 15 sayfa okunmuştur. YouTube'da 24 video araştırmacının yargısıyla seçilmiştir ve yorum tarihleri yaklaşıktır. Şikâyet sitesi öğelerinin çoğunda tarih okunamamıştır.</w:t>
      </w:r>
    </w:p>
    <w:p>
      <w:pPr>
        <w:pStyle w:val="ListParagraph"/>
        <w:numPr>
          <w:ilvl w:val="0"/>
          <w:numId w:val="4"/>
        </w:numPr>
        <w:spacing w:after="50"/>
      </w:pPr>
      <w:r>
        <w:rPr>
          <w:rFonts w:ascii="Arial" w:cs="Arial" w:eastAsia="Arial" w:hAnsi="Arial"/>
          <w:b/>
          <w:bCs/>
          <w:sz w:val="18"/>
          <w:szCs w:val="18"/>
        </w:rPr>
        <w:t xml:space="preserve">Platform kitlesi.</w:t>
      </w:r>
      <w:r>
        <w:rPr>
          <w:rFonts w:ascii="Arial" w:cs="Arial" w:eastAsia="Arial" w:hAnsi="Arial"/>
          <w:sz w:val="18"/>
          <w:szCs w:val="18"/>
        </w:rPr>
        <w:t xml:space="preserve"> Sözlük ve Reddit kitlelerinin yaş, cinsiyet ve yerleşim dağılımına ilişkin bu içerik için veri bulunmamaktadır. Forum hobi sürücüsüne, motosiklet uygulamaları akışı üretici uygulamalarına eğilimlidir.</w:t>
      </w:r>
    </w:p>
    <w:p>
      <w:pPr>
        <w:pStyle w:val="ListParagraph"/>
        <w:numPr>
          <w:ilvl w:val="0"/>
          <w:numId w:val="4"/>
        </w:numPr>
        <w:spacing w:after="50"/>
      </w:pPr>
      <w:r>
        <w:rPr>
          <w:rFonts w:ascii="Arial" w:cs="Arial" w:eastAsia="Arial" w:hAnsi="Arial"/>
          <w:b/>
          <w:bCs/>
          <w:sz w:val="18"/>
          <w:szCs w:val="18"/>
        </w:rPr>
        <w:t xml:space="preserve">İşletme yöneticisi görüşünün azlığı.</w:t>
      </w:r>
      <w:r>
        <w:rPr>
          <w:rFonts w:ascii="Arial" w:cs="Arial" w:eastAsia="Arial" w:hAnsi="Arial"/>
          <w:sz w:val="18"/>
          <w:szCs w:val="18"/>
        </w:rPr>
        <w:t xml:space="preserve"> İşletme yöneticisinin yazdığı öğe sayısı 7'dir; bu çalışma öncelikli kurumsal müşteri hakkında yalnız dolaylı kanıt sunar.</w:t>
      </w:r>
    </w:p>
    <w:p>
      <w:pPr>
        <w:pStyle w:val="ListParagraph"/>
        <w:numPr>
          <w:ilvl w:val="0"/>
          <w:numId w:val="4"/>
        </w:numPr>
        <w:spacing w:after="50"/>
      </w:pPr>
      <w:r>
        <w:rPr>
          <w:rFonts w:ascii="Arial" w:cs="Arial" w:eastAsia="Arial" w:hAnsi="Arial"/>
          <w:b/>
          <w:bCs/>
          <w:sz w:val="18"/>
          <w:szCs w:val="18"/>
        </w:rPr>
        <w:t xml:space="preserve">Parafraz kaybı.</w:t>
      </w:r>
      <w:r>
        <w:rPr>
          <w:rFonts w:ascii="Arial" w:cs="Arial" w:eastAsia="Arial" w:hAnsi="Arial"/>
          <w:sz w:val="18"/>
          <w:szCs w:val="18"/>
        </w:rPr>
        <w:t xml:space="preserve"> Yeniden yazım ironi ve tonun kaybolmasına yol açabilir; özgün metin denetim dosyasında saklanmaktadır.</w:t>
      </w:r>
    </w:p>
    <w:p>
      <w:pPr>
        <w:pStyle w:val="ListParagraph"/>
        <w:numPr>
          <w:ilvl w:val="0"/>
          <w:numId w:val="4"/>
        </w:numPr>
        <w:spacing w:after="50"/>
      </w:pPr>
      <w:r>
        <w:rPr>
          <w:rFonts w:ascii="Arial" w:cs="Arial" w:eastAsia="Arial" w:hAnsi="Arial"/>
          <w:b/>
          <w:bCs/>
          <w:sz w:val="18"/>
          <w:szCs w:val="18"/>
        </w:rPr>
        <w:t xml:space="preserve">Zaman.</w:t>
      </w:r>
      <w:r>
        <w:rPr>
          <w:rFonts w:ascii="Arial" w:cs="Arial" w:eastAsia="Arial" w:hAnsi="Arial"/>
          <w:sz w:val="18"/>
          <w:szCs w:val="18"/>
        </w:rPr>
        <w:t xml:space="preserve"> İçerik ağırlıkla 2023–2026 tarihlidir (forumda 2019–2021 tarihli 23 ileti bulunmaktadır). Fiyatlar ve platform kuralları kısa sürede değişebilmektedir; 2025 öncesinde anılan fiyatlar bugünün TL'siyle karşılaştırılamaz.</w:t>
      </w:r>
    </w:p>
    <w:p>
      <w:pPr>
        <w:pStyle w:val="ListParagraph"/>
        <w:numPr>
          <w:ilvl w:val="0"/>
          <w:numId w:val="4"/>
        </w:numPr>
        <w:spacing w:after="50"/>
      </w:pPr>
      <w:r>
        <w:rPr>
          <w:rFonts w:ascii="Arial" w:cs="Arial" w:eastAsia="Arial" w:hAnsi="Arial"/>
          <w:b/>
          <w:bCs/>
          <w:sz w:val="18"/>
          <w:szCs w:val="18"/>
        </w:rPr>
        <w:t xml:space="preserve">Kümelenme.</w:t>
      </w:r>
      <w:r>
        <w:rPr>
          <w:rFonts w:ascii="Arial" w:cs="Arial" w:eastAsia="Arial" w:hAnsi="Arial"/>
          <w:sz w:val="18"/>
          <w:szCs w:val="18"/>
        </w:rPr>
        <w:t xml:space="preserve"> YouTube öğeleri 24 videoda, forum öğeleri 34 başlıkta toplanmaktadır. Wilson aralıkları öğeleri bağımsız varsaydığından bu akışlarda gerçek belirsizlik tablodakinden geniştir.</w:t>
      </w:r>
    </w:p>
    <w:p>
      <w:pPr>
        <w:pStyle w:val="ListParagraph"/>
        <w:numPr>
          <w:ilvl w:val="0"/>
          <w:numId w:val="4"/>
        </w:numPr>
        <w:spacing w:after="50"/>
      </w:pPr>
      <w:r>
        <w:rPr>
          <w:rFonts w:ascii="Arial" w:cs="Arial" w:eastAsia="Arial" w:hAnsi="Arial"/>
          <w:b/>
          <w:bCs/>
          <w:sz w:val="18"/>
          <w:szCs w:val="18"/>
        </w:rPr>
        <w:t xml:space="preserve">Kod şemasının sınanması.</w:t>
      </w:r>
      <w:r>
        <w:rPr>
          <w:rFonts w:ascii="Arial" w:cs="Arial" w:eastAsia="Arial" w:hAnsi="Arial"/>
          <w:sz w:val="18"/>
          <w:szCs w:val="18"/>
        </w:rPr>
        <w:t xml:space="preserve"> Tanımlar ilk 50 öğede netleştirilmiştir; bu öğelerin son tanımlarla yeniden kodlandığı kayıtta belirtilmemiştir. Kod şemasında tanımın yanında her kod için çapa örnek (Mayring, 2014) bulunmamaktadır.</w:t>
      </w:r>
    </w:p>
    <w:p>
      <w:pPr>
        <w:pStyle w:val="ListParagraph"/>
        <w:numPr>
          <w:ilvl w:val="0"/>
          <w:numId w:val="4"/>
        </w:numPr>
        <w:spacing w:after="50"/>
      </w:pPr>
      <w:r>
        <w:rPr>
          <w:rFonts w:ascii="Arial" w:cs="Arial" w:eastAsia="Arial" w:hAnsi="Arial"/>
          <w:b/>
          <w:bCs/>
          <w:sz w:val="18"/>
          <w:szCs w:val="18"/>
        </w:rPr>
        <w:t xml:space="preserve">Dil.</w:t>
      </w:r>
      <w:r>
        <w:rPr>
          <w:rFonts w:ascii="Arial" w:cs="Arial" w:eastAsia="Arial" w:hAnsi="Arial"/>
          <w:sz w:val="18"/>
          <w:szCs w:val="18"/>
        </w:rPr>
        <w:t xml:space="preserve"> Türkçe kullanıcı yorumlarında büyük dil modeliyle kodlamanın doğruluğunu ölçen hakemli bir çalışma bulunamamıştır. Çift kodlama bu boşluğu bu veri için kapatacaktır.</w:t>
      </w:r>
    </w:p>
    <w:p>
      <w:pPr>
        <w:pStyle w:val="Heading1"/>
        <w:keepNext/>
        <w:spacing w:after="100" w:before="260"/>
      </w:pPr>
      <w:r>
        <w:rPr>
          <w:rFonts w:ascii="Arial" w:cs="Arial" w:eastAsia="Arial" w:hAnsi="Arial"/>
          <w:b/>
          <w:bCs/>
          <w:i w:val="false"/>
          <w:iCs w:val="false"/>
          <w:color w:val="000000"/>
          <w:sz w:val="26"/>
          <w:szCs w:val="26"/>
        </w:rPr>
        <w:t xml:space="preserve">H.8 Kaynaklar</w:t>
      </w:r>
    </w:p>
    <w:p>
      <w:pPr>
        <w:spacing w:after="90"/>
      </w:pPr>
      <w:r>
        <w:rPr>
          <w:rFonts w:ascii="Arial" w:cs="Arial" w:eastAsia="Arial" w:hAnsi="Arial"/>
          <w:sz w:val="18"/>
          <w:szCs w:val="18"/>
        </w:rPr>
        <w:t xml:space="preserve">Erişim tarihi belirtilmeyen veri kaynaklarına 23.09.2026'da erişilmiştir.</w:t>
      </w:r>
    </w:p>
    <w:p>
      <w:pPr>
        <w:keepNext/>
        <w:spacing w:after="60" w:before="140"/>
      </w:pPr>
      <w:r>
        <w:rPr>
          <w:rFonts w:ascii="Arial" w:cs="Arial" w:eastAsia="Arial" w:hAnsi="Arial"/>
          <w:b/>
          <w:bCs/>
          <w:sz w:val="18"/>
          <w:szCs w:val="18"/>
        </w:rPr>
        <w:t xml:space="preserve">Tablo H-11. Veri kaynakları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blHeader/>
        </w:trPr>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792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Kapsam</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Play Türkiye</w:t>
            </w:r>
          </w:p>
        </w:tc>
        <w:tc>
          <w:tcPr>
            <w:tcW w:type="dxa" w:w="79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Sayfa biçimi </w:t>
            </w:r>
            <w:hyperlink w:history="1" r:id="rId_0sho-yijpq8pvom1ur12">
              <w:r>
                <w:rPr>
                  <w:rFonts w:ascii="Arial" w:cs="Arial" w:eastAsia="Arial" w:hAnsi="Arial"/>
                  <w:color w:val="1F4E79"/>
                  <w:sz w:val="17"/>
                  <w:szCs w:val="17"/>
                </w:rPr>
                <w:t xml:space="preserve">https://play.google.com/store/apps/details?id=[paket]</w:t>
              </w:r>
            </w:hyperlink>
            <w:r>
              <w:rPr>
                <w:rFonts w:ascii="Arial" w:cs="Arial" w:eastAsia="Arial" w:hAnsi="Arial"/>
                <w:sz w:val="17"/>
                <w:szCs w:val="17"/>
              </w:rPr>
              <w:t xml:space="preserve">. Genel navigasyon: com.google.android.apps.maps, ru.yandex.yandexnavi, ru.yandex.yandexmaps, com.waze. Motosiklet uygulamaları: com.calimoto.calimoto, com.kurviger.app, com.reverllc.rever, com.getmotobit, com.riserapp, com.yamaha.myride, com.libertyrider.angel. Kurye uygulamaları: com.logistics.rider.yemeksepeti, com.getir.mdu, com.delivery.turkey, com.thekurye, com.yildiztech.ceptesokcourier, com.traceitup.courier, com.akillikurye.app.driver, com.paketmutfak.pm_courier, com.yemekpos.kuryem2, com.maentech.kuryegeliyor, com.gomoto, com.hizirpaket.app, com.multiom.pagate, com.sayazilim.hesapkurye, com.newapp.kuryekazancdefteri. Rota planlayıcılar: tr.com.ussal.smartrouteplanner (Routin), com.tepeyazilim.routingo, com.zeoauto.zeocircuit, com.underwood.route_optimiser (Spoke).</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 Store Türkiye</w:t>
            </w:r>
          </w:p>
        </w:tc>
        <w:tc>
          <w:tcPr>
            <w:tcW w:type="dxa" w:w="79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Sayfa biçimi </w:t>
            </w:r>
            <w:hyperlink w:history="1" r:id="rIduxg7znghidanlp_qbg3bb">
              <w:r>
                <w:rPr>
                  <w:rFonts w:ascii="Arial" w:cs="Arial" w:eastAsia="Arial" w:hAnsi="Arial"/>
                  <w:color w:val="1F4E79"/>
                  <w:sz w:val="17"/>
                  <w:szCs w:val="17"/>
                </w:rPr>
                <w:t xml:space="preserve">https://apps.apple.com/tr/app/id[numara]</w:t>
              </w:r>
            </w:hyperlink>
            <w:r>
              <w:rPr>
                <w:rFonts w:ascii="Arial" w:cs="Arial" w:eastAsia="Arial" w:hAnsi="Arial"/>
                <w:sz w:val="17"/>
                <w:szCs w:val="17"/>
              </w:rPr>
              <w:t xml:space="preserve">: Yandex Maps 313877526, Waze 323229106, Sygic 585193266, calimoto 1209129603, REVER 975571447, Scenic 1089668246, Kurviger 6473445827, Riser 1087005682, MyRide 1255766787, BMW Motorrad Connected 1250881375, MotoAtlas 6798015161, Motoseyir 6792549131, Touride 6474187871, Routin 1608488021, Spoke 1198232244, Yemeksepeti Kurye 1667283557, Banabi Partner 1480375006.</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Ekşi Sözlük</w:t>
            </w:r>
          </w:p>
        </w:tc>
        <w:tc>
          <w:tcPr>
            <w:tcW w:type="dxa" w:w="79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başlıkları (14): kuryeler ve hız baskısı; moto kuryelerin ölmesi; 18 ocak 2026 kuryelerin kontak kapatması; kuryelerin ayda 80 bin tl kazanması; kuryelerin ayda 20-25 bin tl kazanması; kurye maaşı; kuryelerin sürekli sipariş taşıdığı kriz ülkesi; karlı havada kuryelik yapmak; kuryelik dünyanın en zor mesleği; kuryeler için alınması gereken güvenlik tedbirleri; kuryelik; kurye; motokurye; moto kuryelerin trafik kurallarına uymaması. Navigasyon başlıkları (10) ve sürücü başlıkları (3): başlık adresleri denetim dosyasındadır.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motosiklet.net</w:t>
            </w:r>
          </w:p>
        </w:tc>
        <w:tc>
          <w:tcPr>
            <w:tcW w:type="dxa" w:w="79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Misafir araması (navigasyon uygulaması, şerit arası, Yandex navi, rota planlama, motosiklet modu, telefon tutucu, kurye, Google Haritalar, trafikte süre) ve 20 tohum başlık; örnek başlık: </w:t>
            </w:r>
            <w:hyperlink w:history="1" r:id="rIdcctiorgzcu57xvbzsyuy9">
              <w:r>
                <w:rPr>
                  <w:rFonts w:ascii="Arial" w:cs="Arial" w:eastAsia="Arial" w:hAnsi="Arial"/>
                  <w:color w:val="1F4E79"/>
                  <w:sz w:val="17"/>
                  <w:szCs w:val="17"/>
                </w:rPr>
                <w:t xml:space="preserve">https://www.motosiklet.net/forum/konu/motorsiklet-icin-en-iyi-navigasyon-uygulamasi-hangisi.213862/</w:t>
              </w:r>
            </w:hyperlink>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Reddit</w:t>
            </w:r>
          </w:p>
        </w:tc>
        <w:tc>
          <w:tcPr>
            <w:tcW w:type="dxa" w:w="79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Arşiv arayüzü üzerinden 11 sorgu (getir kurye, kurye kazanç, kurye navigasyon, kuryelik, motokurye, motor navigasyon, motorla trafik, motosiklet navigasyon, trendyol go kurye, yandex navigasyon, yemeksepeti kurye); Türkçe alt forumlar, ör. </w:t>
            </w:r>
            <w:hyperlink w:history="1" r:id="rIdvb-ihtq0p9n_xo7gxoh4y">
              <w:r>
                <w:rPr>
                  <w:rFonts w:ascii="Arial" w:cs="Arial" w:eastAsia="Arial" w:hAnsi="Arial"/>
                  <w:color w:val="1F4E79"/>
                  <w:sz w:val="17"/>
                  <w:szCs w:val="17"/>
                </w:rPr>
                <w:t xml:space="preserve">https://www.reddit.com/r/motorsikleTR/</w:t>
              </w:r>
            </w:hyperlink>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YouTube</w:t>
            </w:r>
          </w:p>
        </w:tc>
        <w:tc>
          <w:tcPr>
            <w:tcW w:type="dxa" w:w="79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 arama sorgusu, 472 tekil video; yorumu alınan 24 video (</w:t>
            </w:r>
            <w:hyperlink w:history="1" r:id="rIdb8cq4crdyw-na1e6lwpz9">
              <w:r>
                <w:rPr>
                  <w:rFonts w:ascii="Arial" w:cs="Arial" w:eastAsia="Arial" w:hAnsi="Arial"/>
                  <w:color w:val="1F4E79"/>
                  <w:sz w:val="17"/>
                  <w:szCs w:val="17"/>
                </w:rPr>
                <w:t xml:space="preserve">https://www.youtube.com/watch?v=[kimlik]</w:t>
              </w:r>
            </w:hyperlink>
            <w:r>
              <w:rPr>
                <w:rFonts w:ascii="Arial" w:cs="Arial" w:eastAsia="Arial" w:hAnsi="Arial"/>
                <w:sz w:val="17"/>
                <w:szCs w:val="17"/>
              </w:rPr>
              <w:t xml:space="preserve">): MnmewY5U8hU, -Zf8tZ4uwYQ, 8-eL97g0jOQ, uKyPGv3P16c, MXY-bANtmds, W8e8nWUoNn0, TsYwmGsO77g, xfK9k9HukAY, wx2tF3LPvno, fLgUEeeqt5U, VeadsjvmmVQ, KonMwDKHWZM, rgKoiLHdg4I, ZKgQ3OjbARk, YMWk8SD0EME, 7NDRVXxZrus, 2QUYIUXEoVY, 2PsfdvxQCFA, bsudlAsINrU, 1bGpYalPb2A, kUg4w8lFblk, z78BXp69O0I, SQ4m19zdpB4, am3JF__GE0c</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Şikâyetvar</w:t>
            </w:r>
          </w:p>
        </w:tc>
        <w:tc>
          <w:tcPr>
            <w:tcW w:type="dxa" w:w="79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 arama sorgusu ve dört marka sayfası (üç kurye firması ve bir harita uygulaması); her biri en fazla 10 sayfa</w:t>
            </w:r>
          </w:p>
        </w:tc>
      </w:tr>
    </w:tbl>
    <w:p>
      <w:pPr>
        <w:spacing w:after="60"/>
      </w:pPr>
    </w:p>
    <w:p>
      <w:pPr>
        <w:keepNext/>
        <w:spacing w:after="60" w:before="140"/>
      </w:pPr>
      <w:r>
        <w:rPr>
          <w:rFonts w:ascii="Arial" w:cs="Arial" w:eastAsia="Arial" w:hAnsi="Arial"/>
          <w:b/>
          <w:bCs/>
          <w:sz w:val="18"/>
          <w:szCs w:val="18"/>
        </w:rPr>
        <w:t xml:space="preserve">Tablo H-12. Raporlar ve yöntem kaynakları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9114"/>
      </w:tblGrid>
      <w:tr>
        <w:trPr>
          <w:cantSplit/>
          <w:tblHeader/>
        </w:trPr>
        <w:tc>
          <w:tcPr>
            <w:tcW w:type="dxa" w:w="79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911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Hakları Derneği (2026). 2025 Moto Kurye Ölümleri Raporu. İstanbul, Ocak 2026. </w:t>
            </w:r>
            <w:hyperlink w:history="1" r:id="rIdgql9_g-hhvduvwyvfqrlp">
              <w:r>
                <w:rPr>
                  <w:rFonts w:ascii="Arial" w:cs="Arial" w:eastAsia="Arial" w:hAnsi="Arial"/>
                  <w:color w:val="1F4E79"/>
                  <w:sz w:val="17"/>
                  <w:szCs w:val="17"/>
                </w:rPr>
                <w:t xml:space="preserve">https://kuryehaklari.org/moto-kurye-olumleri-raporu-2025/</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İSİG Meclisi (2025). 2024 yılı iş cinayetleri raporu. </w:t>
            </w:r>
            <w:hyperlink w:history="1" r:id="rIdgoibxh23hy11tu095p83g">
              <w:r>
                <w:rPr>
                  <w:rFonts w:ascii="Arial" w:cs="Arial" w:eastAsia="Arial" w:hAnsi="Arial"/>
                  <w:color w:val="1F4E79"/>
                  <w:sz w:val="17"/>
                  <w:szCs w:val="17"/>
                </w:rPr>
                <w:t xml:space="preserve">https://www.isigmeclisi.org/21145-ic-cepheyi-saglamlastirma-siyasetinin-ortmeye-calistigi-gerce</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"Kontak kapatma" eylemi haberleri, 15–17.01.2026: </w:t>
            </w:r>
            <w:hyperlink w:history="1" r:id="rIdu2llu9idv01xtzpt65fox">
              <w:r>
                <w:rPr>
                  <w:rFonts w:ascii="Arial" w:cs="Arial" w:eastAsia="Arial" w:hAnsi="Arial"/>
                  <w:color w:val="1F4E79"/>
                  <w:sz w:val="17"/>
                  <w:szCs w:val="17"/>
                </w:rPr>
                <w:t xml:space="preserve">https://www.trtv.net/2026/01/17/yarin-basliyor-kuryelerden-uc-gunluk-kontak-kapatma-eylemi/</w:t>
              </w:r>
            </w:hyperlink>
            <w:r>
              <w:rPr>
                <w:rFonts w:ascii="Arial" w:cs="Arial" w:eastAsia="Arial" w:hAnsi="Arial"/>
                <w:sz w:val="17"/>
                <w:szCs w:val="17"/>
              </w:rPr>
              <w:t xml:space="preserve">; </w:t>
            </w:r>
            <w:hyperlink w:history="1" r:id="rIdvmihwjskuihwqhoy4k_vt">
              <w:r>
                <w:rPr>
                  <w:rFonts w:ascii="Arial" w:cs="Arial" w:eastAsia="Arial" w:hAnsi="Arial"/>
                  <w:color w:val="1F4E79"/>
                  <w:sz w:val="17"/>
                  <w:szCs w:val="17"/>
                </w:rPr>
                <w:t xml:space="preserve">https://www.gzt.com/ekonomi/esnaf-kuryeler-neden-eylem-yapiyor-18-20-ocakta-kontak-kapatacaklar-4002642</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Kozinets, R. V. (2020). Netnography: The Essential Guide to Qualitative Social Media Research (3. baskı). London: SAGE.</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Mayring, P. (2014). Qualitative Content Analysis: Theoretical Foundation, Basic Procedures and Software Solution. Klagenfurt. URN: urn:nbn:de:0168-ssoar-395173</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Hsieh, H.-F. ve Shannon, S. E. (2005). Three approaches to qualitative content analysis. Qualitative Health Research, 15(9), 1277–1288. </w:t>
            </w:r>
            <w:hyperlink w:history="1" r:id="rIdwctmy4jfavltizcdthsfw">
              <w:r>
                <w:rPr>
                  <w:rFonts w:ascii="Arial" w:cs="Arial" w:eastAsia="Arial" w:hAnsi="Arial"/>
                  <w:color w:val="1F4E79"/>
                  <w:sz w:val="17"/>
                  <w:szCs w:val="17"/>
                </w:rPr>
                <w:t xml:space="preserve">https://doi.org/10.1177/1049732305276687</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Cohen, J. (1960). A coefficient of agreement for nominal scales. Educational and Psychological Measurement, 20(1), 37–46. </w:t>
            </w:r>
            <w:hyperlink w:history="1" r:id="rIdsmntb_4ipo-sb2oitdigz">
              <w:r>
                <w:rPr>
                  <w:rFonts w:ascii="Arial" w:cs="Arial" w:eastAsia="Arial" w:hAnsi="Arial"/>
                  <w:color w:val="1F4E79"/>
                  <w:sz w:val="17"/>
                  <w:szCs w:val="17"/>
                </w:rPr>
                <w:t xml:space="preserve">https://doi.org/10.1177/001316446002000104</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Landis, J. R. ve Koch, G. G. (1977). The measurement of observer agreement for categorical data. Biometrics, 33(1), 159–174. </w:t>
            </w:r>
            <w:hyperlink w:history="1" r:id="rIdadr7qhsccqzh96axlv_7c">
              <w:r>
                <w:rPr>
                  <w:rFonts w:ascii="Arial" w:cs="Arial" w:eastAsia="Arial" w:hAnsi="Arial"/>
                  <w:color w:val="1F4E79"/>
                  <w:sz w:val="17"/>
                  <w:szCs w:val="17"/>
                </w:rPr>
                <w:t xml:space="preserve">https://doi.org/10.2307/2529310</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O'Connor, C. ve Joffe, H. (2020). Intercoder reliability in qualitative research: Debates and practical guidelines. International Journal of Qualitative Methods, 19, 1–13. </w:t>
            </w:r>
            <w:hyperlink w:history="1" r:id="rIdonavxsdcjdnjbrhq-enyq">
              <w:r>
                <w:rPr>
                  <w:rFonts w:ascii="Arial" w:cs="Arial" w:eastAsia="Arial" w:hAnsi="Arial"/>
                  <w:color w:val="1F4E79"/>
                  <w:sz w:val="17"/>
                  <w:szCs w:val="17"/>
                </w:rPr>
                <w:t xml:space="preserve">https://doi.org/10.1177/1609406919899220</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Feinstein, A. R. ve Cicchetti, D. V. (1990). High agreement but low kappa: I. The problems of two paradoxes. Journal of Clinical Epidemiology, 43(6), 543–549. </w:t>
            </w:r>
            <w:hyperlink w:history="1" r:id="rIdc3cuevipfj0n-xc7wftu_">
              <w:r>
                <w:rPr>
                  <w:rFonts w:ascii="Arial" w:cs="Arial" w:eastAsia="Arial" w:hAnsi="Arial"/>
                  <w:color w:val="1F4E79"/>
                  <w:sz w:val="17"/>
                  <w:szCs w:val="17"/>
                </w:rPr>
                <w:t xml:space="preserve">https://doi.org/10.1016/0895-4356(90</w:t>
              </w:r>
            </w:hyperlink>
            <w:r>
              <w:rPr>
                <w:rFonts w:ascii="Arial" w:cs="Arial" w:eastAsia="Arial" w:hAnsi="Arial"/>
                <w:sz w:val="17"/>
                <w:szCs w:val="17"/>
              </w:rPr>
              <w:t xml:space="preserve">)90158-L</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Wilson, E. B. (1927). Probable inference, the law of succession, and statistical inference. Journal of the American Statistical Association, 22(158), 209–212. </w:t>
            </w:r>
            <w:hyperlink w:history="1" r:id="rIdpgfus9ht0_zqyty5tgbj1">
              <w:r>
                <w:rPr>
                  <w:rFonts w:ascii="Arial" w:cs="Arial" w:eastAsia="Arial" w:hAnsi="Arial"/>
                  <w:color w:val="1F4E79"/>
                  <w:sz w:val="17"/>
                  <w:szCs w:val="17"/>
                </w:rPr>
                <w:t xml:space="preserve">https://doi.org/10.1080/01621459.1927.10502953</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Brown, L. D., Cai, T. T. ve DasGupta, A. (2001). Interval estimation for a binomial proportion. Statistical Science, 16(2), 101–133. </w:t>
            </w:r>
            <w:hyperlink w:history="1" r:id="rIdro4k-naeejfojpyiytx5s">
              <w:r>
                <w:rPr>
                  <w:rFonts w:ascii="Arial" w:cs="Arial" w:eastAsia="Arial" w:hAnsi="Arial"/>
                  <w:color w:val="1F4E79"/>
                  <w:sz w:val="17"/>
                  <w:szCs w:val="17"/>
                </w:rPr>
                <w:t xml:space="preserve">https://doi.org/10.1214/ss/1009213286</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franzke, a. s., Bechmann, A., Zimmer, M., Ess, C. ve AoIR (2020). Internet Research: Ethical Guidelines 3.0. </w:t>
            </w:r>
            <w:hyperlink w:history="1" r:id="rId6_j-dgnawlch_g2d992wj">
              <w:r>
                <w:rPr>
                  <w:rFonts w:ascii="Arial" w:cs="Arial" w:eastAsia="Arial" w:hAnsi="Arial"/>
                  <w:color w:val="1F4E79"/>
                  <w:sz w:val="17"/>
                  <w:szCs w:val="17"/>
                </w:rPr>
                <w:t xml:space="preserve">https://aoir.org/reports/ethics3.pdf</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Townsend, L. ve Wallace, C. (2017). The ethics of using social media data in research: A new framework. K. Woodfield (Ed.), The Ethics of Online Research (s. 189–207). Bingley: Emerald. </w:t>
            </w:r>
            <w:hyperlink w:history="1" r:id="rIdbzwawuqbntsbwyivpp1_f">
              <w:r>
                <w:rPr>
                  <w:rFonts w:ascii="Arial" w:cs="Arial" w:eastAsia="Arial" w:hAnsi="Arial"/>
                  <w:color w:val="1F4E79"/>
                  <w:sz w:val="17"/>
                  <w:szCs w:val="17"/>
                </w:rPr>
                <w:t xml:space="preserve">https://doi.org/10.1108/S2398-601820180000002008</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Ayers, J. W., Caputi, T. L., Nebeker, C. ve Dredze, M. (2018). Don't quote me: Reverse identification of research participants in social media studies. npj Digital Medicine, 1, 30. </w:t>
            </w:r>
            <w:hyperlink w:history="1" r:id="rIdvv8c2qv81prrg3wiqv0dk">
              <w:r>
                <w:rPr>
                  <w:rFonts w:ascii="Arial" w:cs="Arial" w:eastAsia="Arial" w:hAnsi="Arial"/>
                  <w:color w:val="1F4E79"/>
                  <w:sz w:val="17"/>
                  <w:szCs w:val="17"/>
                </w:rPr>
                <w:t xml:space="preserve">https://doi.org/10.1038/s41746-018-0036-2</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Gilardi, F., Alizadeh, M. ve Kubli, M. (2023). ChatGPT outperforms crowd workers for text-annotation tasks. PNAS, 120(30), e2305016120. </w:t>
            </w:r>
            <w:hyperlink w:history="1" r:id="rIdeajciuffv75m9jkixcl2r">
              <w:r>
                <w:rPr>
                  <w:rFonts w:ascii="Arial" w:cs="Arial" w:eastAsia="Arial" w:hAnsi="Arial"/>
                  <w:color w:val="1F4E79"/>
                  <w:sz w:val="17"/>
                  <w:szCs w:val="17"/>
                </w:rPr>
                <w:t xml:space="preserve">https://doi.org/10.1073/pnas.2305016120</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Pangakis, N., Wolken, S. ve Fasching, N. (2023). Automated annotation with generative AI requires validation. arXiv:2306.00176. </w:t>
            </w:r>
            <w:hyperlink w:history="1" r:id="rIdr4fdtzdbftitw81yqrms0">
              <w:r>
                <w:rPr>
                  <w:rFonts w:ascii="Arial" w:cs="Arial" w:eastAsia="Arial" w:hAnsi="Arial"/>
                  <w:color w:val="1F4E79"/>
                  <w:sz w:val="17"/>
                  <w:szCs w:val="17"/>
                </w:rPr>
                <w:t xml:space="preserve">https://arxiv.org/abs/2306.00176</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Ziems, C., Held, W., Shaikh, O., Chen, J., Zhang, Z. ve Yang, D. (2024). Can large language models transform computational social science? Computational Linguistics, 50(1), 237–291. </w:t>
            </w:r>
            <w:hyperlink w:history="1" r:id="rIdr09sjifjjwx7rdhk7buyh">
              <w:r>
                <w:rPr>
                  <w:rFonts w:ascii="Arial" w:cs="Arial" w:eastAsia="Arial" w:hAnsi="Arial"/>
                  <w:color w:val="1F4E79"/>
                  <w:sz w:val="17"/>
                  <w:szCs w:val="17"/>
                </w:rPr>
                <w:t xml:space="preserve">https://doi.org/10.1162/coli_a_00502</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Törnberg, P. (2024). Best practices for text annotation with large language models. Sociologica, 18(2), 67–85. </w:t>
            </w:r>
            <w:hyperlink w:history="1" r:id="rIddzjbar1wmekytdnlubiho">
              <w:r>
                <w:rPr>
                  <w:rFonts w:ascii="Arial" w:cs="Arial" w:eastAsia="Arial" w:hAnsi="Arial"/>
                  <w:color w:val="1F4E79"/>
                  <w:sz w:val="17"/>
                  <w:szCs w:val="17"/>
                </w:rPr>
                <w:t xml:space="preserve">https://doi.org/10.6092/issn.1971-8853/19461</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Yertüm, U. ve Balcı, B. (2023). Motor-kurye çalışanlarının çalışma koşullarına yönelik bir araştırma: İstanbul örneği. Akademik İncelemeler Dergisi, 18(2), 328–350. </w:t>
            </w:r>
            <w:hyperlink w:history="1" r:id="rIdiuqgtviwvz1ddru7lnvvd">
              <w:r>
                <w:rPr>
                  <w:rFonts w:ascii="Arial" w:cs="Arial" w:eastAsia="Arial" w:hAnsi="Arial"/>
                  <w:color w:val="1F4E79"/>
                  <w:sz w:val="17"/>
                  <w:szCs w:val="17"/>
                </w:rPr>
                <w:t xml:space="preserve">https://doi.org/10.17550/akademikincelemeler.1307683</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Kavurmacı, A. (2023). Moto kuryelerin çalışma koşullarını iyileştirecek faktörlerin belirlenmesi: Nitel bir araştırma. Sosyal Güvenlik Dergisi, 13(1), 33–54. </w:t>
            </w:r>
            <w:hyperlink w:history="1" r:id="rIdni-iggnjdnfb3w4gzyk5k">
              <w:r>
                <w:rPr>
                  <w:rFonts w:ascii="Arial" w:cs="Arial" w:eastAsia="Arial" w:hAnsi="Arial"/>
                  <w:color w:val="1F4E79"/>
                  <w:sz w:val="17"/>
                  <w:szCs w:val="17"/>
                </w:rPr>
                <w:t xml:space="preserve">https://doi.org/10.32331/sgd.1318002</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Cerev, G., Sarıipek, D. B. ve Elçi, E. (2024). Life satisfaction and occupational safety relationship: Research on motorcycle couriers in Turkey. Traffic Injury Prevention, 25(2), 156–164. </w:t>
            </w:r>
            <w:hyperlink w:history="1" r:id="rIdvavlxcg3jds8louygdxcq">
              <w:r>
                <w:rPr>
                  <w:rFonts w:ascii="Arial" w:cs="Arial" w:eastAsia="Arial" w:hAnsi="Arial"/>
                  <w:color w:val="1F4E79"/>
                  <w:sz w:val="17"/>
                  <w:szCs w:val="17"/>
                </w:rPr>
                <w:t xml:space="preserve">https://doi.org/10.1080/15389588.2023.2272007</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Efe, E. (2026). Dijital platformlarda emek denetimi: Türkiye'deki kuryeler üzerine netnografik bir araştırma. Intermedia International E-journal, 13(24), 284–306. </w:t>
            </w:r>
            <w:hyperlink w:history="1" r:id="rId03yshfaetkpvnmlhop2hk">
              <w:r>
                <w:rPr>
                  <w:rFonts w:ascii="Arial" w:cs="Arial" w:eastAsia="Arial" w:hAnsi="Arial"/>
                  <w:color w:val="1F4E79"/>
                  <w:sz w:val="17"/>
                  <w:szCs w:val="17"/>
                </w:rPr>
                <w:t xml:space="preserve">https://doi.org/10.56133/intermedia.1908244</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Budak, N. Z., Yaşar, F. ve Budak, Y. (2026). Sistemsel körlük, bireysel suç: Platform ekonomisi bağlamında motosikletli kurye kazalarının Türk ulusal medyasında çerçevelenmesi. Sosyal Güvence, (30), 2348–2388. </w:t>
            </w:r>
            <w:hyperlink w:history="1" r:id="rIdry-efu0p8c2a5if6vq2xu">
              <w:r>
                <w:rPr>
                  <w:rFonts w:ascii="Arial" w:cs="Arial" w:eastAsia="Arial" w:hAnsi="Arial"/>
                  <w:color w:val="1F4E79"/>
                  <w:sz w:val="17"/>
                  <w:szCs w:val="17"/>
                </w:rPr>
                <w:t xml:space="preserve">https://doi.org/10.21441/sosyalguvence.1790711</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Köker, Y. vd. (2026). Hospital-based injury patterns among motorcycle couriers and pedestrians struck by courier-operated motorcycles and mopeds: A multicenter retrospective study. Journal of Clinical Medicine, 15(14), 5383. </w:t>
            </w:r>
            <w:hyperlink w:history="1" r:id="rIdke_zkc-2kgrlqvevws95a">
              <w:r>
                <w:rPr>
                  <w:rFonts w:ascii="Arial" w:cs="Arial" w:eastAsia="Arial" w:hAnsi="Arial"/>
                  <w:color w:val="1F4E79"/>
                  <w:sz w:val="17"/>
                  <w:szCs w:val="17"/>
                </w:rPr>
                <w:t xml:space="preserve">https://doi.org/10.3390/jcm15145383</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Lee, T.-C., Polak, J. W., Bell, M. G. H. ve Wigan, M. R. (2012). The kinematic features of motorcycles in congested urban networks. Accident Analysis and Prevention, 49, 203–211. </w:t>
            </w:r>
            <w:hyperlink w:history="1" r:id="rIdqu5rjjckbcxoktoawrhcf">
              <w:r>
                <w:rPr>
                  <w:rFonts w:ascii="Arial" w:cs="Arial" w:eastAsia="Arial" w:hAnsi="Arial"/>
                  <w:color w:val="1F4E79"/>
                  <w:sz w:val="17"/>
                  <w:szCs w:val="17"/>
                </w:rPr>
                <w:t xml:space="preserve">https://doi.org/10.1016/j.aap.2011.04.002</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Perco, P. (2008). Comparison between powered two-wheeler and passenger car free-flow speeds in urban areas. Transportation Research Record, 2074(1), 77–84. </w:t>
            </w:r>
            <w:hyperlink w:history="1" r:id="rIdjce7z8tx42qcp1rmzuc-k">
              <w:r>
                <w:rPr>
                  <w:rFonts w:ascii="Arial" w:cs="Arial" w:eastAsia="Arial" w:hAnsi="Arial"/>
                  <w:color w:val="1F4E79"/>
                  <w:sz w:val="17"/>
                  <w:szCs w:val="17"/>
                </w:rPr>
                <w:t xml:space="preserve">https://doi.org/10.3141/2074-10</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Temmerman, P. ve Roynard, M. (2016). Motorcycle speed survey 2014. Transportation Research Procedia, 14, 4218–4227. </w:t>
            </w:r>
            <w:hyperlink w:history="1" r:id="rIdwswjboesdlzfleykvm6uv">
              <w:r>
                <w:rPr>
                  <w:rFonts w:ascii="Arial" w:cs="Arial" w:eastAsia="Arial" w:hAnsi="Arial"/>
                  <w:color w:val="1F4E79"/>
                  <w:sz w:val="17"/>
                  <w:szCs w:val="17"/>
                </w:rPr>
                <w:t xml:space="preserve">https://doi.org/10.1016/j.trpro.2016.05.393</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Karayolları Trafik Yönetmeliği (RG 18.07.1997/23053 mükerrer), md. 100. </w:t>
            </w:r>
            <w:hyperlink w:history="1" r:id="rIdkdvvmp7pymjnnhw3q8srv">
              <w:r>
                <w:rPr>
                  <w:rFonts w:ascii="Arial" w:cs="Arial" w:eastAsia="Arial" w:hAnsi="Arial"/>
                  <w:color w:val="1F4E79"/>
                  <w:sz w:val="17"/>
                  <w:szCs w:val="17"/>
                </w:rPr>
                <w:t xml:space="preserve">https://www.mevzuat.gov.tr/mevzuat?MevzuatNo=8182&amp;MevzuatTur=7&amp;MevzuatTertip=5</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Maps Platform, "Countries and regions supported for two-wheeled vehicles" (son güncelleme 24.09.2026). </w:t>
            </w:r>
            <w:hyperlink w:history="1" r:id="rIdvfthdxptfpo7onoadpc0o">
              <w:r>
                <w:rPr>
                  <w:rFonts w:ascii="Arial" w:cs="Arial" w:eastAsia="Arial" w:hAnsi="Arial"/>
                  <w:color w:val="1F4E79"/>
                  <w:sz w:val="17"/>
                  <w:szCs w:val="17"/>
                </w:rPr>
                <w:t xml:space="preserve">https://developers.google.com/maps/documentation/routes/coverage-two-wheeled</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Bastarianto, F. F., Hancock, T. O., Ilahi, A., Manley, E. ve Choudhury, C. F. (2025). "Mind the Gap": The impact of discrepancies between Google Maps API and reported travel data in the Global South. Case Studies on Transport Policy, 21, 101508. </w:t>
            </w:r>
            <w:hyperlink w:history="1" r:id="rIdxxbesobv_xmmhxqslnd8q">
              <w:r>
                <w:rPr>
                  <w:rFonts w:ascii="Arial" w:cs="Arial" w:eastAsia="Arial" w:hAnsi="Arial"/>
                  <w:color w:val="1F4E79"/>
                  <w:sz w:val="17"/>
                  <w:szCs w:val="17"/>
                </w:rPr>
                <w:t xml:space="preserve">https://doi.org/10.1016/j.cstp.2025.101508</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Grahn, H. ve Kujala, T. (2018). Visual distraction effects between in-vehicle tasks with a smartphone and a motorcycle helmet-mounted head-up display. Proceedings of the 22nd International Academic Mindtrek Conference, 153–162. </w:t>
            </w:r>
            <w:hyperlink w:history="1" r:id="rIdsq10etjhbc7cx7tozv3l6">
              <w:r>
                <w:rPr>
                  <w:rFonts w:ascii="Arial" w:cs="Arial" w:eastAsia="Arial" w:hAnsi="Arial"/>
                  <w:color w:val="1F4E79"/>
                  <w:sz w:val="17"/>
                  <w:szCs w:val="17"/>
                </w:rPr>
                <w:t xml:space="preserve">https://doi.org/10.1145/3275116.3275134</w:t>
              </w:r>
            </w:hyperlink>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Beanland, V. vd. (2013). Acceptability of rider assistive systems for powered two-wheelers. Transportation Research Part F, 19, 63–76. </w:t>
            </w:r>
            <w:hyperlink w:history="1" r:id="rIdbdyaun9rlkatzcfjk5hhm">
              <w:r>
                <w:rPr>
                  <w:rFonts w:ascii="Arial" w:cs="Arial" w:eastAsia="Arial" w:hAnsi="Arial"/>
                  <w:color w:val="1F4E79"/>
                  <w:sz w:val="17"/>
                  <w:szCs w:val="17"/>
                </w:rPr>
                <w:t xml:space="preserve">https://doi.org/10.1016/j.trf.2013.03.003</w:t>
              </w:r>
            </w:hyperlink>
          </w:p>
        </w:tc>
      </w:tr>
    </w:tbl>
    <w:p>
      <w:pPr>
        <w:spacing w:after="60"/>
      </w:pP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Ek-H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00000"/>
      <w:sz w:val="21"/>
      <w:szCs w:val="21"/>
    </w:rPr>
  </w:style>
  <w:style w:type="paragraph" w:styleId="Heading3">
    <w:name w:val="Heading 3"/>
    <w:basedOn w:val="Normal"/>
    <w:next w:val="Normal"/>
    <w:qFormat/>
    <w:pPr>
      <w:spacing w:after="60" w:before="140"/>
      <w:outlineLvl w:val="2"/>
    </w:pPr>
    <w:rPr>
      <w:rFonts w:ascii="Arial" w:cs="Arial" w:eastAsia="Arial" w:hAnsi="Arial"/>
      <w:b/>
      <w:bCs/>
      <w:i/>
      <w:iCs/>
      <w:color w:val="00000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_0sho-yijpq8pvom1ur12" Type="http://schemas.openxmlformats.org/officeDocument/2006/relationships/hyperlink" Target="https://play.google.com/store/apps/details?id=[paket]" TargetMode="External"/><Relationship Id="rIduxg7znghidanlp_qbg3bb" Type="http://schemas.openxmlformats.org/officeDocument/2006/relationships/hyperlink" Target="https://apps.apple.com/tr/app/id[numara]" TargetMode="External"/><Relationship Id="rIdcctiorgzcu57xvbzsyuy9" Type="http://schemas.openxmlformats.org/officeDocument/2006/relationships/hyperlink" Target="https://www.motosiklet.net/forum/konu/motorsiklet-icin-en-iyi-navigasyon-uygulamasi-hangisi.213862/" TargetMode="External"/><Relationship Id="rIdvb-ihtq0p9n_xo7gxoh4y" Type="http://schemas.openxmlformats.org/officeDocument/2006/relationships/hyperlink" Target="https://www.reddit.com/r/motorsikleTR/" TargetMode="External"/><Relationship Id="rIdb8cq4crdyw-na1e6lwpz9" Type="http://schemas.openxmlformats.org/officeDocument/2006/relationships/hyperlink" Target="https://www.youtube.com/watch?v=[kimlik]" TargetMode="External"/><Relationship Id="rIdgql9_g-hhvduvwyvfqrlp" Type="http://schemas.openxmlformats.org/officeDocument/2006/relationships/hyperlink" Target="https://kuryehaklari.org/moto-kurye-olumleri-raporu-2025/" TargetMode="External"/><Relationship Id="rIdgoibxh23hy11tu095p83g" Type="http://schemas.openxmlformats.org/officeDocument/2006/relationships/hyperlink" Target="https://www.isigmeclisi.org/21145-ic-cepheyi-saglamlastirma-siyasetinin-ortmeye-calistigi-gerce" TargetMode="External"/><Relationship Id="rIdu2llu9idv01xtzpt65fox" Type="http://schemas.openxmlformats.org/officeDocument/2006/relationships/hyperlink" Target="https://www.trtv.net/2026/01/17/yarin-basliyor-kuryelerden-uc-gunluk-kontak-kapatma-eylemi/" TargetMode="External"/><Relationship Id="rIdvmihwjskuihwqhoy4k_vt" Type="http://schemas.openxmlformats.org/officeDocument/2006/relationships/hyperlink" Target="https://www.gzt.com/ekonomi/esnaf-kuryeler-neden-eylem-yapiyor-18-20-ocakta-kontak-kapatacaklar-4002642" TargetMode="External"/><Relationship Id="rIdwctmy4jfavltizcdthsfw" Type="http://schemas.openxmlformats.org/officeDocument/2006/relationships/hyperlink" Target="https://doi.org/10.1177/1049732305276687" TargetMode="External"/><Relationship Id="rIdsmntb_4ipo-sb2oitdigz" Type="http://schemas.openxmlformats.org/officeDocument/2006/relationships/hyperlink" Target="https://doi.org/10.1177/001316446002000104" TargetMode="External"/><Relationship Id="rIdadr7qhsccqzh96axlv_7c" Type="http://schemas.openxmlformats.org/officeDocument/2006/relationships/hyperlink" Target="https://doi.org/10.2307/2529310" TargetMode="External"/><Relationship Id="rIdonavxsdcjdnjbrhq-enyq" Type="http://schemas.openxmlformats.org/officeDocument/2006/relationships/hyperlink" Target="https://doi.org/10.1177/1609406919899220" TargetMode="External"/><Relationship Id="rIdc3cuevipfj0n-xc7wftu_" Type="http://schemas.openxmlformats.org/officeDocument/2006/relationships/hyperlink" Target="https://doi.org/10.1016/0895-4356(90" TargetMode="External"/><Relationship Id="rIdpgfus9ht0_zqyty5tgbj1" Type="http://schemas.openxmlformats.org/officeDocument/2006/relationships/hyperlink" Target="https://doi.org/10.1080/01621459.1927.10502953" TargetMode="External"/><Relationship Id="rIdro4k-naeejfojpyiytx5s" Type="http://schemas.openxmlformats.org/officeDocument/2006/relationships/hyperlink" Target="https://doi.org/10.1214/ss/1009213286" TargetMode="External"/><Relationship Id="rId6_j-dgnawlch_g2d992wj" Type="http://schemas.openxmlformats.org/officeDocument/2006/relationships/hyperlink" Target="https://aoir.org/reports/ethics3.pdf" TargetMode="External"/><Relationship Id="rIdbzwawuqbntsbwyivpp1_f" Type="http://schemas.openxmlformats.org/officeDocument/2006/relationships/hyperlink" Target="https://doi.org/10.1108/S2398-601820180000002008" TargetMode="External"/><Relationship Id="rIdvv8c2qv81prrg3wiqv0dk" Type="http://schemas.openxmlformats.org/officeDocument/2006/relationships/hyperlink" Target="https://doi.org/10.1038/s41746-018-0036-2" TargetMode="External"/><Relationship Id="rIdeajciuffv75m9jkixcl2r" Type="http://schemas.openxmlformats.org/officeDocument/2006/relationships/hyperlink" Target="https://doi.org/10.1073/pnas.2305016120" TargetMode="External"/><Relationship Id="rIdr4fdtzdbftitw81yqrms0" Type="http://schemas.openxmlformats.org/officeDocument/2006/relationships/hyperlink" Target="https://arxiv.org/abs/2306.00176" TargetMode="External"/><Relationship Id="rIdr09sjifjjwx7rdhk7buyh" Type="http://schemas.openxmlformats.org/officeDocument/2006/relationships/hyperlink" Target="https://doi.org/10.1162/coli_a_00502" TargetMode="External"/><Relationship Id="rIddzjbar1wmekytdnlubiho" Type="http://schemas.openxmlformats.org/officeDocument/2006/relationships/hyperlink" Target="https://doi.org/10.6092/issn.1971-8853/19461" TargetMode="External"/><Relationship Id="rIdiuqgtviwvz1ddru7lnvvd" Type="http://schemas.openxmlformats.org/officeDocument/2006/relationships/hyperlink" Target="https://doi.org/10.17550/akademikincelemeler.1307683" TargetMode="External"/><Relationship Id="rIdni-iggnjdnfb3w4gzyk5k" Type="http://schemas.openxmlformats.org/officeDocument/2006/relationships/hyperlink" Target="https://doi.org/10.32331/sgd.1318002" TargetMode="External"/><Relationship Id="rIdvavlxcg3jds8louygdxcq" Type="http://schemas.openxmlformats.org/officeDocument/2006/relationships/hyperlink" Target="https://doi.org/10.1080/15389588.2023.2272007" TargetMode="External"/><Relationship Id="rId03yshfaetkpvnmlhop2hk" Type="http://schemas.openxmlformats.org/officeDocument/2006/relationships/hyperlink" Target="https://doi.org/10.56133/intermedia.1908244" TargetMode="External"/><Relationship Id="rIdry-efu0p8c2a5if6vq2xu" Type="http://schemas.openxmlformats.org/officeDocument/2006/relationships/hyperlink" Target="https://doi.org/10.21441/sosyalguvence.1790711" TargetMode="External"/><Relationship Id="rIdke_zkc-2kgrlqvevws95a" Type="http://schemas.openxmlformats.org/officeDocument/2006/relationships/hyperlink" Target="https://doi.org/10.3390/jcm15145383" TargetMode="External"/><Relationship Id="rIdqu5rjjckbcxoktoawrhcf" Type="http://schemas.openxmlformats.org/officeDocument/2006/relationships/hyperlink" Target="https://doi.org/10.1016/j.aap.2011.04.002" TargetMode="External"/><Relationship Id="rIdjce7z8tx42qcp1rmzuc-k" Type="http://schemas.openxmlformats.org/officeDocument/2006/relationships/hyperlink" Target="https://doi.org/10.3141/2074-10" TargetMode="External"/><Relationship Id="rIdwswjboesdlzfleykvm6uv" Type="http://schemas.openxmlformats.org/officeDocument/2006/relationships/hyperlink" Target="https://doi.org/10.1016/j.trpro.2016.05.393" TargetMode="External"/><Relationship Id="rIdkdvvmp7pymjnnhw3q8srv" Type="http://schemas.openxmlformats.org/officeDocument/2006/relationships/hyperlink" Target="https://www.mevzuat.gov.tr/mevzuat?MevzuatNo=8182&amp;MevzuatTur=7&amp;MevzuatTertip=5" TargetMode="External"/><Relationship Id="rIdvfthdxptfpo7onoadpc0o" Type="http://schemas.openxmlformats.org/officeDocument/2006/relationships/hyperlink" Target="https://developers.google.com/maps/documentation/routes/coverage-two-wheeled" TargetMode="External"/><Relationship Id="rIdxxbesobv_xmmhxqslnd8q" Type="http://schemas.openxmlformats.org/officeDocument/2006/relationships/hyperlink" Target="https://doi.org/10.1016/j.cstp.2025.101508" TargetMode="External"/><Relationship Id="rIdsq10etjhbc7cx7tozv3l6" Type="http://schemas.openxmlformats.org/officeDocument/2006/relationships/hyperlink" Target="https://doi.org/10.1145/3275116.3275134" TargetMode="External"/><Relationship Id="rIdbdyaun9rlkatzcfjk5hhm" Type="http://schemas.openxmlformats.org/officeDocument/2006/relationships/hyperlink" Target="https://doi.org/10.1016/j.trf.2013.03.003" TargetMode="Externa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Ek-H Kullanıcı İhtiyacı ve Nitel İçerik Analizi</dc:title>
  <dc:creator>MotoMap</dc:creator>
  <cp:lastModifiedBy>Un-named</cp:lastModifiedBy>
  <cp:revision>1</cp:revision>
  <dcterms:created xsi:type="dcterms:W3CDTF">2026-09-30T16:41:29.331Z</dcterms:created>
  <dcterms:modified xsi:type="dcterms:W3CDTF">2026-09-30T16:41:29.332Z</dcterms:modified>
</cp:coreProperties>
</file>

<file path=docProps/custom.xml><?xml version="1.0" encoding="utf-8"?>
<Properties xmlns="http://schemas.openxmlformats.org/officeDocument/2006/custom-properties" xmlns:vt="http://schemas.openxmlformats.org/officeDocument/2006/docPropsVTypes"/>
</file>