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595959"/>
          <w:sz w:val="22"/>
          <w:szCs w:val="22"/>
        </w:rPr>
        <w:t xml:space="preserve">Ek-M</w:t>
      </w:r>
    </w:p>
    <w:p>
      <w:pPr>
        <w:spacing w:after="60"/>
      </w:pPr>
      <w:r>
        <w:rPr>
          <w:rFonts w:ascii="Arial" w:cs="Arial" w:eastAsia="Arial" w:hAnsi="Arial"/>
          <w:b/>
          <w:bCs/>
          <w:sz w:val="36"/>
          <w:szCs w:val="36"/>
        </w:rPr>
        <w:t xml:space="preserve">Fikri Mülkiyet, Marka ve Lisans Paketi</w:t>
      </w:r>
    </w:p>
    <w:p>
      <w:pPr>
        <w:spacing w:after="160"/>
      </w:pPr>
      <w:r>
        <w:rPr>
          <w:rFonts w:ascii="Arial" w:cs="Arial" w:eastAsia="Arial" w:hAnsi="Arial"/>
          <w:color w:val="595959"/>
          <w:sz w:val="17"/>
          <w:szCs w:val="17"/>
        </w:rPr>
        <w:t xml:space="preserve">MotoMap · TÜBİTAK 1812 Yatırım Tabanlı Girişimcilik Destekleme Programı · AGY 112 İş Planı eki · Çağrı 1812-2026-2 · Düzenleme tarihi: 30.09.2026</w:t>
      </w:r>
    </w:p>
    <w:p>
      <w:pPr>
        <w:pStyle w:val="Heading1"/>
        <w:keepNext/>
        <w:spacing w:after="100" w:before="260"/>
      </w:pPr>
      <w:r>
        <w:rPr>
          <w:rFonts w:ascii="Arial" w:cs="Arial" w:eastAsia="Arial" w:hAnsi="Arial"/>
          <w:b/>
          <w:bCs/>
          <w:i w:val="false"/>
          <w:iCs w:val="false"/>
          <w:color w:val="000000"/>
          <w:sz w:val="26"/>
          <w:szCs w:val="26"/>
        </w:rPr>
        <w:t xml:space="preserve">M.1 Amaç ve kapsam</w:t>
      </w:r>
    </w:p>
    <w:p>
      <w:pPr>
        <w:spacing w:after="90"/>
      </w:pPr>
      <w:r>
        <w:rPr>
          <w:rFonts w:ascii="Arial" w:cs="Arial" w:eastAsia="Arial" w:hAnsi="Arial"/>
          <w:sz w:val="18"/>
          <w:szCs w:val="18"/>
        </w:rPr>
        <w:t xml:space="preserve">Bu ek, MotoMap'in kaynak kodu, rota algoritmaları, teknik belgeleri, marka işaretleri ve kullandığı üçüncü taraf bileşenler üzerindeki hak sahipliğini ve lisans risklerini belgelemek amacıyla hazırlanmıştır; iş planının 1.7, 2.5, 2.6, 4.3 ve 5.1 alanlarında özetlenen fikri mülkiyet planının dayanakları bu ekte sunulmaktadır.</w:t>
      </w:r>
    </w:p>
    <w:p>
      <w:pPr>
        <w:spacing w:after="90"/>
      </w:pPr>
      <w:r>
        <w:rPr>
          <w:rFonts w:ascii="Arial" w:cs="Arial" w:eastAsia="Arial" w:hAnsi="Arial"/>
          <w:sz w:val="18"/>
          <w:szCs w:val="18"/>
        </w:rPr>
        <w:t xml:space="preserve">TÜBİTAK 1812-2026-2 çağrı duyurusu, girişimcilerin faaliyet konusuna ilişkin şahsen sahip oldukları fikri ve sınai mülkiyet haklarını karşılık istemeksizin yatırım öncesinde şirkete devretmesini, gerekli devir sözleşmelerini imzalamasını ve Türk Patent ve Marka Kurumu (TÜRKPATENT) nezdinde marka başvurusu gibi başvuruları gecikmeksizin yapmasını öngörmektedir (§5.5, m.7) [K1]. Yatırım ve Pay Sahipleri Sözleşmesi (YPSS) taslağının 3.7 maddesi aynı yükümlülüğü kuruluş sonrasına bağlamaktadır [K2]. İş planına göre mevcut haklar yatırım aktarılmadan önce yazılı sözleşmelerle bedelsiz olarak MotoMap A.Ş.'ye devredilecektir (2.6); kuruluş, YPSS imzası, fikri mülkiyet devri ve marka başvurusu Aralık 2026'da gerçekleştirilecektir (4.3).</w:t>
      </w:r>
    </w:p>
    <w:p>
      <w:pPr>
        <w:spacing w:after="90"/>
      </w:pPr>
      <w:r>
        <w:rPr>
          <w:rFonts w:ascii="Arial" w:cs="Arial" w:eastAsia="Arial" w:hAnsi="Arial"/>
          <w:sz w:val="18"/>
          <w:szCs w:val="18"/>
        </w:rPr>
        <w:t xml:space="preserve">Ekin bölümleri şunlardır:</w:t>
      </w:r>
    </w:p>
    <w:p>
      <w:pPr>
        <w:pStyle w:val="ListParagraph"/>
        <w:numPr>
          <w:ilvl w:val="0"/>
          <w:numId w:val="2"/>
        </w:numPr>
        <w:spacing w:after="50"/>
      </w:pPr>
      <w:r>
        <w:rPr>
          <w:rFonts w:ascii="Arial" w:cs="Arial" w:eastAsia="Arial" w:hAnsi="Arial"/>
          <w:sz w:val="18"/>
          <w:szCs w:val="18"/>
        </w:rPr>
        <w:t xml:space="preserve">M.3: fikri mülkiyet varlıkları, katkı ve hak sahipliği envanteri;</w:t>
      </w:r>
    </w:p>
    <w:p>
      <w:pPr>
        <w:pStyle w:val="ListParagraph"/>
        <w:numPr>
          <w:ilvl w:val="0"/>
          <w:numId w:val="2"/>
        </w:numPr>
        <w:spacing w:after="50"/>
      </w:pPr>
      <w:r>
        <w:rPr>
          <w:rFonts w:ascii="Arial" w:cs="Arial" w:eastAsia="Arial" w:hAnsi="Arial"/>
          <w:sz w:val="18"/>
          <w:szCs w:val="18"/>
        </w:rPr>
        <w:t xml:space="preserve">M.4: kurucu fikri mülkiyet devir sözleşmesi taslağı;</w:t>
      </w:r>
    </w:p>
    <w:p>
      <w:pPr>
        <w:pStyle w:val="ListParagraph"/>
        <w:numPr>
          <w:ilvl w:val="0"/>
          <w:numId w:val="2"/>
        </w:numPr>
        <w:spacing w:after="50"/>
      </w:pPr>
      <w:r>
        <w:rPr>
          <w:rFonts w:ascii="Arial" w:cs="Arial" w:eastAsia="Arial" w:hAnsi="Arial"/>
          <w:sz w:val="18"/>
          <w:szCs w:val="18"/>
        </w:rPr>
        <w:t xml:space="preserve">M.5: açık kaynak ve üçüncü taraf bileşen listesi, lisans yükümlülükleri ve uyum işlemleri;</w:t>
      </w:r>
    </w:p>
    <w:p>
      <w:pPr>
        <w:pStyle w:val="ListParagraph"/>
        <w:numPr>
          <w:ilvl w:val="0"/>
          <w:numId w:val="2"/>
        </w:numPr>
        <w:spacing w:after="50"/>
      </w:pPr>
      <w:r>
        <w:rPr>
          <w:rFonts w:ascii="Arial" w:cs="Arial" w:eastAsia="Arial" w:hAnsi="Arial"/>
          <w:sz w:val="18"/>
          <w:szCs w:val="18"/>
        </w:rPr>
        <w:t xml:space="preserve">M.6: marka ön taraması, “MotoMap” kelime markası ve logo;</w:t>
      </w:r>
    </w:p>
    <w:p>
      <w:pPr>
        <w:pStyle w:val="ListParagraph"/>
        <w:numPr>
          <w:ilvl w:val="0"/>
          <w:numId w:val="2"/>
        </w:numPr>
        <w:spacing w:after="50"/>
      </w:pPr>
      <w:r>
        <w:rPr>
          <w:rFonts w:ascii="Arial" w:cs="Arial" w:eastAsia="Arial" w:hAnsi="Arial"/>
          <w:sz w:val="18"/>
          <w:szCs w:val="18"/>
        </w:rPr>
        <w:t xml:space="preserve">M.7: 2.5 tablosundaki patent belgelerinin kaynak sayfaları, faaliyet serbestliği ön taraması ve profesyonel faaliyet serbestliği görüşünün kapsamı;</w:t>
      </w:r>
    </w:p>
    <w:p>
      <w:pPr>
        <w:pStyle w:val="ListParagraph"/>
        <w:numPr>
          <w:ilvl w:val="0"/>
          <w:numId w:val="2"/>
        </w:numPr>
        <w:spacing w:after="50"/>
      </w:pPr>
      <w:r>
        <w:rPr>
          <w:rFonts w:ascii="Arial" w:cs="Arial" w:eastAsia="Arial" w:hAnsi="Arial"/>
          <w:sz w:val="18"/>
          <w:szCs w:val="18"/>
        </w:rPr>
        <w:t xml:space="preserve">M.8: ticari sır koruma önlemleri.</w:t>
      </w:r>
    </w:p>
    <w:p>
      <w:pPr>
        <w:spacing w:after="90"/>
      </w:pPr>
      <w:r>
        <w:rPr>
          <w:rFonts w:ascii="Arial" w:cs="Arial" w:eastAsia="Arial" w:hAnsi="Arial"/>
          <w:sz w:val="18"/>
          <w:szCs w:val="18"/>
        </w:rPr>
        <w:t xml:space="preserve">Ek hukuki görüş değildir. Patent ve marka bulguları ekip içi ön taramaya dayanır ve patent vekili ya da marka vekili görüşü yerine geçmez. Devir sözleşmesi taslağı hukuk/IP vekili kontrolünden geçecektir.</w:t>
      </w:r>
    </w:p>
    <w:p>
      <w:pPr>
        <w:pStyle w:val="Heading2"/>
        <w:keepNext/>
        <w:spacing w:after="80" w:before="180"/>
      </w:pPr>
      <w:r>
        <w:rPr>
          <w:rFonts w:ascii="Arial" w:cs="Arial" w:eastAsia="Arial" w:hAnsi="Arial"/>
          <w:b/>
          <w:bCs/>
          <w:i w:val="false"/>
          <w:iCs w:val="false"/>
          <w:color w:val="000000"/>
          <w:sz w:val="21"/>
          <w:szCs w:val="21"/>
        </w:rPr>
        <w:t xml:space="preserve">M.1.1 Başlıca bulgular (30.09.2026)</w:t>
      </w:r>
    </w:p>
    <w:p>
      <w:pPr>
        <w:pStyle w:val="ListParagraph"/>
        <w:numPr>
          <w:ilvl w:val="0"/>
          <w:numId w:val="2"/>
        </w:numPr>
        <w:spacing w:after="50"/>
      </w:pPr>
      <w:r>
        <w:rPr>
          <w:rFonts w:ascii="Arial" w:cs="Arial" w:eastAsia="Arial" w:hAnsi="Arial"/>
          <w:sz w:val="18"/>
          <w:szCs w:val="18"/>
        </w:rPr>
        <w:t xml:space="preserve">Altı kod deposundaki 248 commit'in (sürüm denetim kaydı) tamamı tek yazar kimliğiyle, Muhammet Yağcıoğlu adıyla, 02.09.2026–26.09.2026 arasında kaydedilmiştir. Depolar 02.09.2026'da “ilk sürüm” commit'leriyle oluşturulmuştur; 05.03.2026 tarihli algoritma raporunun ve Temmuz 2026 tarihli teknik raporun kapsadığı önceki geliştirme geçmişi depolarda bulunmamaktadır (M.3).</w:t>
      </w:r>
    </w:p>
    <w:p>
      <w:pPr>
        <w:pStyle w:val="ListParagraph"/>
        <w:numPr>
          <w:ilvl w:val="0"/>
          <w:numId w:val="2"/>
        </w:numPr>
        <w:spacing w:after="50"/>
      </w:pPr>
      <w:r>
        <w:rPr>
          <w:rFonts w:ascii="Arial" w:cs="Arial" w:eastAsia="Arial" w:hAnsi="Arial"/>
          <w:sz w:val="18"/>
          <w:szCs w:val="18"/>
        </w:rPr>
        <w:t xml:space="preserve">Altı deponun lisans dosyası MIT lisansıdır ve telif satırında “ALİ ÖZUYSAL” adı yer almaktadır. MotoMap'in internet sitesindeki kullanım koşulları (motomap.co) rota motorunun kaynak kodunu MIT lisanslı açık kaynak olarak tanımlamaktadır [K41]. Depolar ise GitHub'da herkese kapalıdır [K40]. Bu kayıtlar 2.6'daki ticari sır yaklaşımıyla ve şirkete münhasır devir hedefiyle çelişmektedir; devirden önce düzeltilecektir (M.3.3).</w:t>
      </w:r>
    </w:p>
    <w:p>
      <w:pPr>
        <w:pStyle w:val="ListParagraph"/>
        <w:numPr>
          <w:ilvl w:val="0"/>
          <w:numId w:val="2"/>
        </w:numPr>
        <w:spacing w:after="50"/>
      </w:pPr>
      <w:r>
        <w:rPr>
          <w:rFonts w:ascii="Arial" w:cs="Arial" w:eastAsia="Arial" w:hAnsi="Arial"/>
          <w:sz w:val="18"/>
          <w:szCs w:val="18"/>
        </w:rPr>
        <w:t xml:space="preserve">Python ve Flutter doğrudan bağımlılıklarında ve portalın 361 npm paketinde GPL ya da AGPL lisanslı paket tespit edilmemiştir. Tanıtım sitesindeki Nimbus Roman yazı tipi AGPL-3.0, sunucu altyapısındaki Redis 7.4 ise kaynağı erişilebilir RSALv2/SSPLv1 lisanslıdır (M.5).</w:t>
      </w:r>
    </w:p>
    <w:p>
      <w:pPr>
        <w:pStyle w:val="ListParagraph"/>
        <w:numPr>
          <w:ilvl w:val="0"/>
          <w:numId w:val="2"/>
        </w:numPr>
        <w:spacing w:after="50"/>
      </w:pPr>
      <w:r>
        <w:rPr>
          <w:rFonts w:ascii="Arial" w:cs="Arial" w:eastAsia="Arial" w:hAnsi="Arial"/>
          <w:sz w:val="18"/>
          <w:szCs w:val="18"/>
        </w:rPr>
        <w:t xml:space="preserve">Veri tarafında belirleyici koşullar, OpenStreetMap (OSM) verisinin Açık Veritabanı Lisansı (ODbL 1.0) kapsamındaki atıf ve paylaşım koşulları ile HERE Platform Terms'in saklama süresi, makine öğrenmesi ve öngörü analitiği kısıtlarıdır [K23, K25]. HERE hızlarının saklanması ve kalibrasyonda kullanımı yazılı ticari lisansta açıkça düzenlenecektir (M.5.5).</w:t>
      </w:r>
    </w:p>
    <w:p>
      <w:pPr>
        <w:pStyle w:val="ListParagraph"/>
        <w:numPr>
          <w:ilvl w:val="0"/>
          <w:numId w:val="2"/>
        </w:numPr>
        <w:spacing w:after="50"/>
      </w:pPr>
      <w:r>
        <w:rPr>
          <w:rFonts w:ascii="Arial" w:cs="Arial" w:eastAsia="Arial" w:hAnsi="Arial"/>
          <w:sz w:val="18"/>
          <w:szCs w:val="18"/>
        </w:rPr>
        <w:t xml:space="preserve">İş planının 2.5 tablosundaki sekiz belgenin numaraları kaynak sayfalarıyla doğrulanmıştır. EP3648077B1 Google Patents kaydına göre yürürlüktedir; Türkiye'de geçerlilik durumu doğrulanamamıştır. İki belgenin ABD başvurusu terk edilmiş, bir belge başvuru aşamasındadır (M.7.2).</w:t>
      </w:r>
    </w:p>
    <w:p>
      <w:pPr>
        <w:pStyle w:val="ListParagraph"/>
        <w:numPr>
          <w:ilvl w:val="0"/>
          <w:numId w:val="2"/>
        </w:numPr>
        <w:spacing w:after="50"/>
      </w:pPr>
      <w:r>
        <w:rPr>
          <w:rFonts w:ascii="Arial" w:cs="Arial" w:eastAsia="Arial" w:hAnsi="Arial"/>
          <w:sz w:val="18"/>
          <w:szCs w:val="18"/>
        </w:rPr>
        <w:t xml:space="preserve">“MotoMap” adı için 23.09.2026'daki ekip içi ön taramada TÜRKPATENT'te kayıt ya da başvuru bulunmamıştır; sonuç marka vekili görüşü değildir (M.6).</w:t>
      </w:r>
    </w:p>
    <w:p>
      <w:pPr>
        <w:pStyle w:val="Heading1"/>
        <w:keepNext/>
        <w:spacing w:after="100" w:before="260"/>
      </w:pPr>
      <w:r>
        <w:rPr>
          <w:rFonts w:ascii="Arial" w:cs="Arial" w:eastAsia="Arial" w:hAnsi="Arial"/>
          <w:b/>
          <w:bCs/>
          <w:i w:val="false"/>
          <w:iCs w:val="false"/>
          <w:color w:val="000000"/>
          <w:sz w:val="26"/>
          <w:szCs w:val="26"/>
        </w:rPr>
        <w:t xml:space="preserve">M.2 Yöntem</w:t>
      </w:r>
    </w:p>
    <w:p>
      <w:pPr>
        <w:spacing w:after="90"/>
      </w:pPr>
      <w:r>
        <w:rPr>
          <w:rFonts w:ascii="Arial" w:cs="Arial" w:eastAsia="Arial" w:hAnsi="Arial"/>
          <w:sz w:val="18"/>
          <w:szCs w:val="18"/>
        </w:rPr>
        <w:t xml:space="preserve">Ek, 30.09.2026'da aşağıdaki kaynaklardan derlenmiştir:</w:t>
      </w:r>
    </w:p>
    <w:p>
      <w:pPr>
        <w:pStyle w:val="ListParagraph"/>
        <w:numPr>
          <w:ilvl w:val="0"/>
          <w:numId w:val="2"/>
        </w:numPr>
        <w:spacing w:after="50"/>
      </w:pPr>
      <w:r>
        <w:rPr>
          <w:rFonts w:ascii="Arial" w:cs="Arial" w:eastAsia="Arial" w:hAnsi="Arial"/>
          <w:sz w:val="18"/>
          <w:szCs w:val="18"/>
        </w:rPr>
        <w:t xml:space="preserve">iş planının revize sürümü (1.7, 2.5, 2.6, 3.1, 3.2, 3.4, 4.3, 5.1) [K43];</w:t>
      </w:r>
    </w:p>
    <w:p>
      <w:pPr>
        <w:pStyle w:val="ListParagraph"/>
        <w:numPr>
          <w:ilvl w:val="0"/>
          <w:numId w:val="2"/>
        </w:numPr>
        <w:spacing w:after="50"/>
      </w:pPr>
      <w:r>
        <w:rPr>
          <w:rFonts w:ascii="Arial" w:cs="Arial" w:eastAsia="Arial" w:hAnsi="Arial"/>
          <w:sz w:val="18"/>
          <w:szCs w:val="18"/>
        </w:rPr>
        <w:t xml:space="preserve">v15 çalışma klasöründeki (23.09.2026) marka ön taraması ve Ek-A'nın A.7 bölümü [K9, K21];</w:t>
      </w:r>
    </w:p>
    <w:p>
      <w:pPr>
        <w:pStyle w:val="ListParagraph"/>
        <w:numPr>
          <w:ilvl w:val="0"/>
          <w:numId w:val="2"/>
        </w:numPr>
        <w:spacing w:after="50"/>
      </w:pPr>
      <w:r>
        <w:rPr>
          <w:rFonts w:ascii="Arial" w:cs="Arial" w:eastAsia="Arial" w:hAnsi="Arial"/>
          <w:sz w:val="18"/>
          <w:szCs w:val="18"/>
        </w:rPr>
        <w:t xml:space="preserve">MotoMap'in altı kod deposunun yerel kopyaları: motomap-engine, motomap-app, motomap-app-ui, motomap-deploy, motomap-portal, motomap-website [K42];</w:t>
      </w:r>
    </w:p>
    <w:p>
      <w:pPr>
        <w:pStyle w:val="ListParagraph"/>
        <w:numPr>
          <w:ilvl w:val="0"/>
          <w:numId w:val="2"/>
        </w:numPr>
        <w:spacing w:after="50"/>
      </w:pPr>
      <w:r>
        <w:rPr>
          <w:rFonts w:ascii="Arial" w:cs="Arial" w:eastAsia="Arial" w:hAnsi="Arial"/>
          <w:sz w:val="18"/>
          <w:szCs w:val="18"/>
        </w:rPr>
        <w:t xml:space="preserve">mevzuat metinleri, patent kayıtları, lisans ve hizmet koşulları için resmî internet sayfaları (erişim 30.09.2026).</w:t>
      </w:r>
    </w:p>
    <w:p>
      <w:pPr>
        <w:spacing w:after="90"/>
      </w:pPr>
      <w:r>
        <w:rPr>
          <w:rFonts w:ascii="Arial" w:cs="Arial" w:eastAsia="Arial" w:hAnsi="Arial"/>
          <w:sz w:val="18"/>
          <w:szCs w:val="18"/>
        </w:rPr>
        <w:t xml:space="preserve">Katkı kayıtları salt okunur git komutlarıyla (shortlog, log, rev-list) tüm dallar üzerinden çıkarılmıştır; e-posta adresleri rapora alınmamıştır. Lisanslar paket meta verisinden okunmuştur: Python bağımlılıklarında yerel geliştirme ortamındaki kurulu paketlerin lisans alanları, Flutter bağımlılıklarında pubspec.lock dosyasındaki çözümlenmiş sürümler ve yerel paket önbelleğindeki LICENSE dosyaları, npm bağımlılıklarında node_modules altındaki 361 paketin package.json lisans alanı, yazı tiplerinde dosyaların ad tablosu kullanılmıştır. Meta verisi bulunmayan bileşenlerin lisansı resmî depo ya da lisans sayfasından doğrulanmıştır.</w:t>
      </w:r>
    </w:p>
    <w:p>
      <w:pPr>
        <w:spacing w:after="90"/>
      </w:pPr>
      <w:r>
        <w:rPr>
          <w:rFonts w:ascii="Arial" w:cs="Arial" w:eastAsia="Arial" w:hAnsi="Arial"/>
          <w:sz w:val="18"/>
          <w:szCs w:val="18"/>
        </w:rPr>
        <w:t xml:space="preserve">Patent belgelerinin başlık, sahip, tarih ve durum bilgileri 30.09.2026'da Google Patents kayıtlarından doğrulanmıştır. Patent İşbirliği Antlaşması (PCT) kapsamındaki PCT/IB2019/000359 numarası ABD yayınının ön sayfasından okunmuştur. Avrupa Patent Ofisi (EPO) kayıt sistemi ve Espacenet otomatik erişime HTTP 403 yanıtı vermiştir; ülke bazlı geçerlilik bilgisi bu nedenle Google Patents'teki hukuki olay kayıtlarıyla sınırlıdır. Kanun hükümleri mevzuat.gov.tr'deki güncel metinlerden [K3–K6], marka ücretleri TÜRKPATENT internet sayfasından ve 2026 ücret tarifesi tebliğinin cetvelinden okunmuştur [K7, K8].</w:t>
      </w:r>
    </w:p>
    <w:p>
      <w:pPr>
        <w:pStyle w:val="Heading1"/>
        <w:keepNext/>
        <w:spacing w:after="100" w:before="260"/>
      </w:pPr>
      <w:r>
        <w:rPr>
          <w:rFonts w:ascii="Arial" w:cs="Arial" w:eastAsia="Arial" w:hAnsi="Arial"/>
          <w:b/>
          <w:bCs/>
          <w:i w:val="false"/>
          <w:iCs w:val="false"/>
          <w:color w:val="000000"/>
          <w:sz w:val="26"/>
          <w:szCs w:val="26"/>
        </w:rPr>
        <w:t xml:space="preserve">M.3 Fikri mülkiyet varlıkları ve katkı envanteri</w:t>
      </w:r>
    </w:p>
    <w:p>
      <w:pPr>
        <w:pStyle w:val="Heading2"/>
        <w:keepNext/>
        <w:spacing w:after="80" w:before="180"/>
      </w:pPr>
      <w:r>
        <w:rPr>
          <w:rFonts w:ascii="Arial" w:cs="Arial" w:eastAsia="Arial" w:hAnsi="Arial"/>
          <w:b/>
          <w:bCs/>
          <w:i w:val="false"/>
          <w:iCs w:val="false"/>
          <w:color w:val="000000"/>
          <w:sz w:val="21"/>
          <w:szCs w:val="21"/>
        </w:rPr>
        <w:t xml:space="preserve">M.3.1 Kod depoları ve commit kayıtları</w:t>
      </w:r>
    </w:p>
    <w:p>
      <w:pPr>
        <w:keepNext/>
        <w:spacing w:after="60" w:before="140"/>
      </w:pPr>
      <w:r>
        <w:rPr>
          <w:rFonts w:ascii="Arial" w:cs="Arial" w:eastAsia="Arial" w:hAnsi="Arial"/>
          <w:b/>
          <w:bCs/>
          <w:sz w:val="18"/>
          <w:szCs w:val="18"/>
        </w:rPr>
        <w:t xml:space="preserve">Tablo M-1. Kod depolarının içeriği ve commit kayıtları (30.09.2026, yerel kopya)</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5"/>
        <w:gridCol w:w="3268"/>
        <w:gridCol w:w="1188"/>
        <w:gridCol w:w="1386"/>
        <w:gridCol w:w="1188"/>
        <w:gridCol w:w="1391"/>
      </w:tblGrid>
      <w:tr>
        <w:trPr>
          <w:cantSplit/>
          <w:tblHeader/>
        </w:trPr>
        <w:tc>
          <w:tcPr>
            <w:tcW w:type="dxa" w:w="148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Depo</w:t>
            </w:r>
          </w:p>
        </w:tc>
        <w:tc>
          <w:tcPr>
            <w:tcW w:type="dxa" w:w="326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İçerik</w:t>
            </w:r>
          </w:p>
        </w:tc>
        <w:tc>
          <w:tcPr>
            <w:tcW w:type="dxa" w:w="118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Commit (tüm dallar / main)</w:t>
            </w:r>
          </w:p>
        </w:tc>
        <w:tc>
          <w:tcPr>
            <w:tcW w:type="dxa" w:w="138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İlk ve son commit</w:t>
            </w:r>
          </w:p>
        </w:tc>
        <w:tc>
          <w:tcPr>
            <w:tcW w:type="dxa" w:w="118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Git yazar adı</w:t>
            </w:r>
          </w:p>
        </w:tc>
        <w:tc>
          <w:tcPr>
            <w:tcW w:type="dxa" w:w="139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Lisans dosyası</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motomap-engine</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motoru: hız modeli, derlenmiş özelleştirilebilir daralma hiyerarşisi (CCH) çekirdeği, dönüş kısıtlı yol ağı, viraj riski, motosiklet hız farkı kestiricisi, çok duraklı sıralama; FastAPI hizmeti; veritabanı şeması ve göçleri; yük testleri; teknik belgeler; etkin dalda GraphHopper ülke grafı yapılandırması</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61 / 34</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02.09.2026</w:t>
            </w:r>
          </w:p>
          <w:p>
            <w:pPr>
              <w:spacing w:after="30"/>
            </w:pPr>
            <w:r>
              <w:rPr>
                <w:rFonts w:ascii="Arial" w:cs="Arial" w:eastAsia="Arial" w:hAnsi="Arial"/>
                <w:sz w:val="17"/>
                <w:szCs w:val="17"/>
              </w:rPr>
              <w:t xml:space="preserve">26.09.2026</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Muhammet Yağcıoğlu</w:t>
            </w:r>
          </w:p>
        </w:tc>
        <w:tc>
          <w:tcPr>
            <w:tcW w:type="dxa" w:w="13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 “Copyright (c) 2026 ALİ ÖZUYSAL”</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motomap-app</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Flutter mobil uygulama (iOS, Android, web); tasarım belgeleri; marka dosyaları; MotoMap Sans yazı tipi; ikon ve marka üretim betikleri</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114 / 40</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02.09.2026</w:t>
            </w:r>
          </w:p>
          <w:p>
            <w:pPr>
              <w:spacing w:after="30"/>
            </w:pPr>
            <w:r>
              <w:rPr>
                <w:rFonts w:ascii="Arial" w:cs="Arial" w:eastAsia="Arial" w:hAnsi="Arial"/>
                <w:sz w:val="17"/>
                <w:szCs w:val="17"/>
              </w:rPr>
              <w:t xml:space="preserve">26.09.2026</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Muhammet Yağcıoğlu</w:t>
            </w:r>
          </w:p>
        </w:tc>
        <w:tc>
          <w:tcPr>
            <w:tcW w:type="dxa" w:w="13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 aynı telif satırı</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motomap-app-ui</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ekranlarını sabit örnek veriyle çalıştıran önizleme uygulaması (motomap-app'e yol bağımlılığı)</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 / 7</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06.09.2026</w:t>
            </w:r>
          </w:p>
          <w:p>
            <w:pPr>
              <w:spacing w:after="30"/>
            </w:pPr>
            <w:r>
              <w:rPr>
                <w:rFonts w:ascii="Arial" w:cs="Arial" w:eastAsia="Arial" w:hAnsi="Arial"/>
                <w:sz w:val="17"/>
                <w:szCs w:val="17"/>
              </w:rPr>
              <w:t xml:space="preserve">09.09.2026</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Muhammet Yağcıoğlu</w:t>
            </w:r>
          </w:p>
        </w:tc>
        <w:tc>
          <w:tcPr>
            <w:tcW w:type="dxa" w:w="13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 aynı telif satırı</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motomap-deploy</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motomap.co sitesinin ve rota hizmetinin (API) dağıtımını yapan Windows komut satırı aracı</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 / 5</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03.09.2026</w:t>
            </w:r>
          </w:p>
          <w:p>
            <w:pPr>
              <w:spacing w:after="30"/>
            </w:pPr>
            <w:r>
              <w:rPr>
                <w:rFonts w:ascii="Arial" w:cs="Arial" w:eastAsia="Arial" w:hAnsi="Arial"/>
                <w:sz w:val="17"/>
                <w:szCs w:val="17"/>
              </w:rPr>
              <w:t xml:space="preserve">26.09.2026</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Muhammet Yağcıoğlu</w:t>
            </w:r>
          </w:p>
        </w:tc>
        <w:tc>
          <w:tcPr>
            <w:tcW w:type="dxa" w:w="13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 aynı telif satırı</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motomap-portal</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ve abonelik web uygulaması (Next.js)</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 / 7</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02.09.2026</w:t>
            </w:r>
          </w:p>
          <w:p>
            <w:pPr>
              <w:spacing w:after="30"/>
            </w:pPr>
            <w:r>
              <w:rPr>
                <w:rFonts w:ascii="Arial" w:cs="Arial" w:eastAsia="Arial" w:hAnsi="Arial"/>
                <w:sz w:val="17"/>
                <w:szCs w:val="17"/>
              </w:rPr>
              <w:t xml:space="preserve">07.09.2026</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Muhammet Yağcıoğlu</w:t>
            </w:r>
          </w:p>
        </w:tc>
        <w:tc>
          <w:tcPr>
            <w:tcW w:type="dxa" w:w="13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 aynı telif satırı</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motomap-website</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motomap.co tanıtım sitesi, yasal metinler, İstanbul vitrin haritası, logo vektör seti; Muhammet Yağcıoğlu'nun kişisel portföy sayfaları (MY/, tools/my/)</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40 / 33</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02.09.2026</w:t>
            </w:r>
          </w:p>
          <w:p>
            <w:pPr>
              <w:spacing w:after="30"/>
            </w:pPr>
            <w:r>
              <w:rPr>
                <w:rFonts w:ascii="Arial" w:cs="Arial" w:eastAsia="Arial" w:hAnsi="Arial"/>
                <w:sz w:val="17"/>
                <w:szCs w:val="17"/>
              </w:rPr>
              <w:t xml:space="preserve">20.09.2026</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Muhammet Yağcıoğlu</w:t>
            </w:r>
          </w:p>
        </w:tc>
        <w:tc>
          <w:tcPr>
            <w:tcW w:type="dxa" w:w="13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 aynı telif satırı</w:t>
            </w:r>
          </w:p>
        </w:tc>
      </w:tr>
    </w:tbl>
    <w:p>
      <w:pPr>
        <w:spacing w:after="60"/>
      </w:pPr>
    </w:p>
    <w:p>
      <w:pPr>
        <w:spacing w:after="100" w:before="40"/>
      </w:pPr>
      <w:r>
        <w:rPr>
          <w:rFonts w:ascii="Arial" w:cs="Arial" w:eastAsia="Arial" w:hAnsi="Arial"/>
          <w:i/>
          <w:iCs/>
          <w:color w:val="595959"/>
          <w:sz w:val="16"/>
          <w:szCs w:val="16"/>
        </w:rPr>
        <w:t xml:space="preserve">Not: Altı depoda toplam 248 commit bulunmaktadır. Tüm commit'lerde tek yazar adı ve tek e-posta kimliği kullanılmıştır; 49 commit'te işleyen (committer) alanı “GitHub” olarak görünmektedir ve bu kayıtlar GitHub arayüzünden birleştirilen çekme isteklerini (pull request) gösterir. Depolar GitHub'daki MOTOMAP-A-S organizasyonuna bağlıdır; organizasyon 02.09.2026'da açılmıştır ve herkese açık deposu bulunmamaktadır [K40]. Depo belgeleri tek yönetici olarak “@adzetto” GitHub hesabını göstermektedir; bu hesap Muhammet Yağcıoğlu'nun GitHub hesabıdır.</w:t>
      </w:r>
    </w:p>
    <w:p>
      <w:pPr>
        <w:spacing w:after="90"/>
      </w:pPr>
      <w:r>
        <w:rPr>
          <w:rFonts w:ascii="Arial" w:cs="Arial" w:eastAsia="Arial" w:hAnsi="Arial"/>
          <w:sz w:val="18"/>
          <w:szCs w:val="18"/>
        </w:rPr>
        <w:t xml:space="preserve">Commit kayıtları iş planının 3.1 alanıyla uyumludur. Bu alana göre rota motorunu, dönüş kısıtlı yol hiyerarşisini, canlı trafik eşlemesini, mobil uygulamayı ve sunucu altyapısını Muhammet Yağcıoğlu geliştirmiştir. Ali Özuysal ve Hamidreza Khalaj Zahraei adına commit bulunmamaktadır. Ali Özuysal, 05.03.2026 tarihli “MOTOMAP: Motorcycle-Focused Intelligent Route Optimization Engine” başlıklı algoritma, sistem mimarisi ve karşılaştırma raporunda Muhammet Yağcıoğlu ile birlikte yazar olarak yer almaktadır. Hamidreza Khalaj Zahraei'ye depolarda yalnız algoritma el kitabında, kendi kısmını anlattığı bir videoya yapılan atıfla yer verilmektedir.</w:t>
      </w:r>
    </w:p>
    <w:p>
      <w:pPr>
        <w:pStyle w:val="Heading2"/>
        <w:keepNext/>
        <w:spacing w:after="80" w:before="180"/>
      </w:pPr>
      <w:r>
        <w:rPr>
          <w:rFonts w:ascii="Arial" w:cs="Arial" w:eastAsia="Arial" w:hAnsi="Arial"/>
          <w:b/>
          <w:bCs/>
          <w:i w:val="false"/>
          <w:iCs w:val="false"/>
          <w:color w:val="000000"/>
          <w:sz w:val="21"/>
          <w:szCs w:val="21"/>
        </w:rPr>
        <w:t xml:space="preserve">M.3.2 Varlık envanteri ve devir durumu</w:t>
      </w:r>
    </w:p>
    <w:p>
      <w:pPr>
        <w:spacing w:after="90"/>
      </w:pPr>
      <w:r>
        <w:rPr>
          <w:rFonts w:ascii="Arial" w:cs="Arial" w:eastAsia="Arial" w:hAnsi="Arial"/>
          <w:sz w:val="18"/>
          <w:szCs w:val="18"/>
        </w:rPr>
        <w:t xml:space="preserve">İş planının 2.6 alanında sayılan varlık türleri (kaynak kodu, rota algoritmaları, teknik dokümantasyon, arayüz ve tasarım çalışmaları, veri modeli, diğer fikri ürünler) Tablo M-2'de konum ve kanıtla eşleştirilmiştir. Şirket 30.09.2026 itibarıyla kurulmamıştır; bu nedenle hiçbir varlık devredilmemiştir.</w:t>
      </w:r>
    </w:p>
    <w:p>
      <w:pPr>
        <w:keepNext/>
        <w:spacing w:after="60" w:before="140"/>
      </w:pPr>
      <w:r>
        <w:rPr>
          <w:rFonts w:ascii="Arial" w:cs="Arial" w:eastAsia="Arial" w:hAnsi="Arial"/>
          <w:b/>
          <w:bCs/>
          <w:sz w:val="18"/>
          <w:szCs w:val="18"/>
        </w:rPr>
        <w:t xml:space="preserve">Tablo M-2. Fikri mülkiyet varlıkları, katkı ve devir durumu (30.09.2026)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5"/>
        <w:gridCol w:w="1882"/>
        <w:gridCol w:w="2080"/>
        <w:gridCol w:w="1386"/>
        <w:gridCol w:w="1684"/>
        <w:gridCol w:w="1389"/>
      </w:tblGrid>
      <w:tr>
        <w:trPr>
          <w:cantSplit/>
          <w:tblHeader/>
        </w:trPr>
        <w:tc>
          <w:tcPr>
            <w:tcW w:type="dxa" w:w="148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Varlık</w:t>
            </w:r>
          </w:p>
        </w:tc>
        <w:tc>
          <w:tcPr>
            <w:tcW w:type="dxa" w:w="188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Depo/konum</w:t>
            </w:r>
          </w:p>
        </w:tc>
        <w:tc>
          <w:tcPr>
            <w:tcW w:type="dxa" w:w="20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Katkıda bulunan(lar)</w:t>
            </w:r>
          </w:p>
        </w:tc>
        <w:tc>
          <w:tcPr>
            <w:tcW w:type="dxa" w:w="138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Dönem</w:t>
            </w:r>
          </w:p>
        </w:tc>
        <w:tc>
          <w:tcPr>
            <w:tcW w:type="dxa" w:w="16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Kanıt</w:t>
            </w:r>
          </w:p>
        </w:tc>
        <w:tc>
          <w:tcPr>
            <w:tcW w:type="dxa" w:w="138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Devir durumu</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Fikir ve ilk prototip</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Bölünme öncesi özel depo (motomap-legacy; 282 kayıt, 28.02.2026–02.09.2026)</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Ali Özuysal (iş planı 2.6)</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İlk kayıt 28.02.2026</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Eski depo kayıtları; 05.03.2026 tarihli rapor (yazarlar Ali Özuysal ve Muhammet Yağcıoğlu)</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Devredilmemiştir; Aralık 2026 (4.3)</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motoru kaynak kodu ve rota algoritmaları</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motomap-engine: motomap/, setup_cch.py, graphhopper/</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Git: Muhammet Yağcıoğlu. Rapor künyesi: Ali Özuysal, Muhammet Yağcıoğlu. Hamidreza Khalaj Zahraei: eski depoda 20 kayıt</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İlk kayıt 28.02.2026 (eski depo); 05.03.2026 raporunda çalışır durumdadır; Git: 02.09–26.09.2026</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61 commit; 05.03.2026 raporu; 11.04.2026 hız modeli revizyon belgesi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Devredilmemiştir; Aralık 2026</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hizmeti (API) ve veri modeli</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motomap-engine: api/, alembic/ (etkin dalda 31 veritabanı tablosu)</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Git: Muhammet Yağcıoğlu</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Git: 02.09–26.09.2026</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motomap-engine commit'leri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Devredilmemiştir; Aralık 2026</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Kalibrasyon parametreleri, hız farkı kestiricisi, yol ağı işleme yöntemleri</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motomap-engine: motomap/config.py, motomap/delta_estimator.py, graphhopper/custom_models/</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Git: Muhammet Yağcıoğlu. Ulaştırma mühendisliği katkısı: Hamidreza Khalaj Zahraei (plan 3.3)</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Git: 02.09–26.09.2026</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motomap-engine commit'leri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Devredilmemiştir; ticari sır olarak korunacaktır (2.6)</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Teknik dokümantasyon</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motomap-engine/docs: algoritma raporu (05.03.2026), hız modeli revizyonu (11.04.2026), doğruluk yol haritası (20.07.2026), teknik rapor v0.7.5 (Temmuz 2026, 120 sayfa), algoritma el kitabı, kod turu</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Rapor künyesi: Ali Özuysal, Muhammet Yağcıoğlu; diğer belgelerde kişi adı yoktur</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Mart–Eylül 2026</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Belge künyeleri; Git kayıtları</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Devredilmemiştir; Aralık 2026</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Mobil uygulama</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motomap-app</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Git: Muhammet Yağcıoğlu</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02.09–26.09.2026</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114 commit</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Devredilmemiştir; Aralık 2026</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Arayüz ve tasarım çalışmaları</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motomap-app: lib/ui, lib/theme, docs/design; motomap-app-ui</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Git: Muhammet Yağcıoğlu</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02.09–26.09.2026</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motomap-app commit'leri; motomap-app-ui 12 commit</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Devredilmemiştir; Aralık 2026</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 web uygulaması</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motomap-portal</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Git: Muhammet Yağcıoğlu</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02.09–07.09.2026</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 commit</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Devredilmemiştir; Aralık 2026</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Tanıtım sitesi ve yasal metinler</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motomap-website (MY/ ve tools/my/ hariç)</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Git: Muhammet Yağcıoğlu</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02.09–20.09.2026</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40 commit</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Devredilmemiştir; kişisel portföy klasörlerinin devir dışında tutulması önerilmektedir</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Dağıtım aracı</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motomap-deploy</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Git: Muhammet Yağcıoğlu</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03.09–26.09.2026</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 commit</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Devredilmemiştir; Aralık 2026</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Logo ve marka işaretleri</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Tablo M-13</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Vektör set ve üretim kodu Git: Muhammet Yağcıoğlu. Özgün raster logonun (logo.png) tasarımcısı kayıtlarda yer almamaktadır</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Kayıtlarda yer almamaktadır</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brand/README.md (vektör setin logo.png'den yeniden çizildiği kaydı)</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Devredilmemiştir; marka başvurusu Aralık 2026</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Sans yazı tipi</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motomap-app/assets/fonts</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Mona Sans v2.000 türevi; değişiklik betiği tool/fonts/derive_face.py</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05–06.09.2026</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OFL-MotoMapSans.txt</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Şirkete münhasır hak doğmaz; OFL-1.1 altında kalır</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Alan adı (motomap.co)</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Alan adı kayıt kuruluşu</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Bu ekte belirtilmemiştir</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Bu ekte belirtilmemiştir</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Site yayındadır (HTTP 200, 30.09.2026)</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Şirkete aktarılacaktır</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Kod deposu, mağaza ve hizmet hesapları</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GitHub MOTOMAP-A-S;</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GitHub: 02.09.2026</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GitHub API [K40]</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Şirkete aktarılacaktır</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Akademik danışman katkıları</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Danışmanlık kayıtları</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Dr. Tolga Ercan (İzmir Yüksek Teknoloji Enstitüsü, İYTE)</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1–18 (plan 3.4)</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Depolarda kayıt yoktur</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Danışmanlık sözleşmesine fikri mülkiyet hükmü konacaktır</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Yükseköğretim kurumu hakları</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İYTE</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Üniversite olanağı, ders, proje ya da tez kullanımı devirden önce değerlendirilecektir</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Proje öncesi</w:t>
            </w:r>
          </w:p>
        </w:tc>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Depolarda üniversite projesine ait kayıt bulunmamaktadır</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Patent hakkı varsa çağrı duyurusu §5.5 m.7 uyarınca devir işlemleri başlatılacaktır</w:t>
            </w:r>
          </w:p>
        </w:tc>
      </w:tr>
    </w:tbl>
    <w:p>
      <w:pPr>
        <w:spacing w:after="60"/>
      </w:pPr>
    </w:p>
    <w:p>
      <w:pPr>
        <w:spacing w:after="100" w:before="40"/>
      </w:pPr>
      <w:r>
        <w:rPr>
          <w:rFonts w:ascii="Arial" w:cs="Arial" w:eastAsia="Arial" w:hAnsi="Arial"/>
          <w:i/>
          <w:iCs/>
          <w:color w:val="595959"/>
          <w:sz w:val="16"/>
          <w:szCs w:val="16"/>
        </w:rPr>
        <w:t xml:space="preserve">Not: Git kayıtları katkıyı yalnız commit'i yapan kimlik üzerinden gösterir; birlikte yürütülen tasarım, gözden geçirme, test ve saha çalışmaları commit sayısına yansımaz. Katkı türleri ve kurucuların 02.09.2026 öncesi katkıları, devir sözleşmesinin Sözleşme Eki 1'inde kurucuların ortak beyanıyla kayda alınacaktır.</w:t>
      </w:r>
    </w:p>
    <w:p>
      <w:pPr>
        <w:pStyle w:val="Heading2"/>
        <w:keepNext/>
        <w:spacing w:after="80" w:before="180"/>
      </w:pPr>
      <w:r>
        <w:rPr>
          <w:rFonts w:ascii="Arial" w:cs="Arial" w:eastAsia="Arial" w:hAnsi="Arial"/>
          <w:b/>
          <w:bCs/>
          <w:i w:val="false"/>
          <w:iCs w:val="false"/>
          <w:color w:val="000000"/>
          <w:sz w:val="21"/>
          <w:szCs w:val="21"/>
        </w:rPr>
        <w:t xml:space="preserve">M.3.3 Tutarsızlıklar ve devir öncesi düzeltmeler</w:t>
      </w:r>
    </w:p>
    <w:p>
      <w:pPr>
        <w:pStyle w:val="ListParagraph"/>
        <w:numPr>
          <w:ilvl w:val="0"/>
          <w:numId w:val="3"/>
        </w:numPr>
        <w:spacing w:after="50"/>
      </w:pPr>
      <w:r>
        <w:rPr>
          <w:rFonts w:ascii="Arial" w:cs="Arial" w:eastAsia="Arial" w:hAnsi="Arial"/>
          <w:b/>
          <w:bCs/>
          <w:sz w:val="18"/>
          <w:szCs w:val="18"/>
        </w:rPr>
        <w:t xml:space="preserve">Lisans dosyaları ve telif satırı.</w:t>
      </w:r>
      <w:r>
        <w:rPr>
          <w:rFonts w:ascii="Arial" w:cs="Arial" w:eastAsia="Arial" w:hAnsi="Arial"/>
          <w:sz w:val="18"/>
          <w:szCs w:val="18"/>
        </w:rPr>
        <w:t xml:space="preserve"> Altı deponun LICENSE dosyası MIT lisansıdır ve “Copyright (c) 2026 ALİ ÖZUYSAL” satırını taşımaktadır; motomap-engine README dosyası da lisansı “MIT” olarak göstermektedir. MIT lisansı, yazılımın kopyasını edinen her kişiye yazılımı kullanma, değiştirme, dağıtma ve alt lisans verme izni tanır. Fikir ve Sanat Eserleri Kanunu'na (FSEK, 5846 sayılı) göre eser sahibi eseri meydana getirendir (md. 8); telif satırı hak sahipliğini tek başına belirlemez [K3]. Depolar 30.09.2026'da herkese kapalıdır [K40]; depoların geçmişte herkese açık olup olmadığı ve kopyaların kimlere verildiği depo kayıtlarından anlaşılamamaktadır. Önceki kopya ve lisanslar devir sözleşmesinde beyan edilecek (M.4, Sözleşme Eki 2), devirden sonra LICENSE dosyaları “Tüm hakları MotoMap A.Ş.'ye aittir” bildirimiyle değiştirilecektir.</w:t>
      </w:r>
    </w:p>
    <w:p>
      <w:pPr>
        <w:pStyle w:val="ListParagraph"/>
        <w:numPr>
          <w:ilvl w:val="0"/>
          <w:numId w:val="3"/>
        </w:numPr>
        <w:spacing w:after="50"/>
      </w:pPr>
      <w:r>
        <w:rPr>
          <w:rFonts w:ascii="Arial" w:cs="Arial" w:eastAsia="Arial" w:hAnsi="Arial"/>
          <w:b/>
          <w:bCs/>
          <w:sz w:val="18"/>
          <w:szCs w:val="18"/>
        </w:rPr>
        <w:t xml:space="preserve">Kullanım koşulları.</w:t>
      </w:r>
      <w:r>
        <w:rPr>
          <w:rFonts w:ascii="Arial" w:cs="Arial" w:eastAsia="Arial" w:hAnsi="Arial"/>
          <w:sz w:val="18"/>
          <w:szCs w:val="18"/>
        </w:rPr>
        <w:t xml:space="preserve"> Sitedeki (motomap.co) kullanım koşullarının 8. bölümü “Rotalama motorunun kaynak kodu MIT lisansıyla açık kaynaktır” ifadesini taşımaktadır (yürürlük 03.09.2026) [K41]. İfade 2.6'daki ticari sır yaklaşımıyla çelişmektedir ve devir tarihinde kaldırılacaktır. Aynı metnin 9. bölümü, depo kayıtlarına göre kullanılmayan CARTO hizmetini saymaktadır; sağlayıcı listesi fiili kullanımla eşitlenecektir.</w:t>
      </w:r>
    </w:p>
    <w:p>
      <w:pPr>
        <w:pStyle w:val="ListParagraph"/>
        <w:numPr>
          <w:ilvl w:val="0"/>
          <w:numId w:val="3"/>
        </w:numPr>
        <w:spacing w:after="50"/>
      </w:pPr>
      <w:r>
        <w:rPr>
          <w:rFonts w:ascii="Arial" w:cs="Arial" w:eastAsia="Arial" w:hAnsi="Arial"/>
          <w:b/>
          <w:bCs/>
          <w:sz w:val="18"/>
          <w:szCs w:val="18"/>
        </w:rPr>
        <w:t xml:space="preserve">Kuruluş öncesi şirket adı.</w:t>
      </w:r>
      <w:r>
        <w:rPr>
          <w:rFonts w:ascii="Arial" w:cs="Arial" w:eastAsia="Arial" w:hAnsi="Arial"/>
          <w:sz w:val="18"/>
          <w:szCs w:val="18"/>
        </w:rPr>
        <w:t xml:space="preserve"> Depoların CONTRIBUTING.md dosyaları depoları “MOTOMAP A.Ş.'nin özel deposu” olarak tanımlamakta, GitHub organizasyonu da MOTOMAP-A-S adını taşımaktadır. Türk Ticaret Kanunu'na (TTK, 6102 sayılı) göre şirket ticaret siciline tescil ile tüzel kişilik kazanır (md. 355/1) [K5]. Bu ifadeler hak sahipliği doğurmaz; haklar devir tarihine kadar eser sahiplerinde kalır.</w:t>
      </w:r>
    </w:p>
    <w:p>
      <w:pPr>
        <w:pStyle w:val="ListParagraph"/>
        <w:numPr>
          <w:ilvl w:val="0"/>
          <w:numId w:val="3"/>
        </w:numPr>
        <w:spacing w:after="50"/>
      </w:pPr>
      <w:r>
        <w:rPr>
          <w:rFonts w:ascii="Arial" w:cs="Arial" w:eastAsia="Arial" w:hAnsi="Arial"/>
          <w:b/>
          <w:bCs/>
          <w:sz w:val="18"/>
          <w:szCs w:val="18"/>
        </w:rPr>
        <w:t xml:space="preserve">Eksik geliştirme geçmişi.</w:t>
      </w:r>
      <w:r>
        <w:rPr>
          <w:rFonts w:ascii="Arial" w:cs="Arial" w:eastAsia="Arial" w:hAnsi="Arial"/>
          <w:sz w:val="18"/>
          <w:szCs w:val="18"/>
        </w:rPr>
        <w:t xml:space="preserve"> Motor deposundaki 05.03.2026 tarihli rapor motorun o tarihteki durumunu, 11.04.2026 tarihli belge hız modeli revizyonunu, Temmuz 2026 tarihli teknik rapor 0.7.5 sürümünü anlatmaktadır; bu dönemlerin kod geçmişi depolarda yoktur. İş planında Ali Özuysal'a ait olduğu belirtilen fikir ve ilk prototip için de depolarda kayıt bulunmamaktadır. Önceki depo, arşiv ve tarihli belgeler Sözleşme Eki 1'e kanıt olarak eklenecektir.</w:t>
      </w:r>
    </w:p>
    <w:p>
      <w:pPr>
        <w:pStyle w:val="ListParagraph"/>
        <w:numPr>
          <w:ilvl w:val="0"/>
          <w:numId w:val="3"/>
        </w:numPr>
        <w:spacing w:after="50"/>
      </w:pPr>
      <w:r>
        <w:rPr>
          <w:rFonts w:ascii="Arial" w:cs="Arial" w:eastAsia="Arial" w:hAnsi="Arial"/>
          <w:b/>
          <w:bCs/>
          <w:sz w:val="18"/>
          <w:szCs w:val="18"/>
        </w:rPr>
        <w:t xml:space="preserve">Kişisel içerik.</w:t>
      </w:r>
      <w:r>
        <w:rPr>
          <w:rFonts w:ascii="Arial" w:cs="Arial" w:eastAsia="Arial" w:hAnsi="Arial"/>
          <w:sz w:val="18"/>
          <w:szCs w:val="18"/>
        </w:rPr>
        <w:t xml:space="preserve"> Tanıtım sitesi deposunda (motomap-website) Muhammet Yağcıoğlu'nun kişisel portföy ve özgeçmiş sayfaları (MY/, tools/my/) bulunmakta ve motomap.co/MY/ adresinde yayımlanmaktadır. İçerik faaliyet konusu dışındadır; devir kapsamı dışında tutulması ve ayrı bir depoya taşınması önerilmektedir.</w:t>
      </w:r>
    </w:p>
    <w:p>
      <w:pPr>
        <w:pStyle w:val="ListParagraph"/>
        <w:numPr>
          <w:ilvl w:val="0"/>
          <w:numId w:val="3"/>
        </w:numPr>
        <w:spacing w:after="50"/>
      </w:pPr>
      <w:r>
        <w:rPr>
          <w:rFonts w:ascii="Arial" w:cs="Arial" w:eastAsia="Arial" w:hAnsi="Arial"/>
          <w:b/>
          <w:bCs/>
          <w:sz w:val="18"/>
          <w:szCs w:val="18"/>
        </w:rPr>
        <w:t xml:space="preserve">Araç destekli üretim.</w:t>
      </w:r>
      <w:r>
        <w:rPr>
          <w:rFonts w:ascii="Arial" w:cs="Arial" w:eastAsia="Arial" w:hAnsi="Arial"/>
          <w:sz w:val="18"/>
          <w:szCs w:val="18"/>
        </w:rPr>
        <w:t xml:space="preserve"> Altı deponun her birinde “bu depoda çalışan her kişi ve her araç” için kurallar içeren AGENTS.md dosyası bulunmaktadır. Kurallar commit ve belge metinlerine araç ya da yapay zekâ atfı yazılmamasını öngörmekte, motor deposundaki sürekli entegrasyon (CI) işi bu tür atıf taşıyan commit'leri reddetmektedir. Uygulama deposunun tool/brand dizinindeki betikler ikon adayı üretmek için görsel üretim modellerini (Google Gemini, Cloudflare Workers AI) çağırmaktadır. Git kayıtları bu nedenle yapay zekâ aracı kullanılan bölümleri göstermemektedir. Bu bölümler şirket içi gizli bir kayıtla belirlenecek, eser sahipliği ve araç kullanım koşulları hukuk/IP vekiline sorulacaktır (M.7.4).</w:t>
      </w:r>
    </w:p>
    <w:p>
      <w:pPr>
        <w:pStyle w:val="ListParagraph"/>
        <w:numPr>
          <w:ilvl w:val="0"/>
          <w:numId w:val="3"/>
        </w:numPr>
        <w:spacing w:after="50"/>
      </w:pPr>
      <w:r>
        <w:rPr>
          <w:rFonts w:ascii="Arial" w:cs="Arial" w:eastAsia="Arial" w:hAnsi="Arial"/>
          <w:b/>
          <w:bCs/>
          <w:sz w:val="18"/>
          <w:szCs w:val="18"/>
        </w:rPr>
        <w:t xml:space="preserve">Hesap yetkileri.</w:t>
      </w:r>
      <w:r>
        <w:rPr>
          <w:rFonts w:ascii="Arial" w:cs="Arial" w:eastAsia="Arial" w:hAnsi="Arial"/>
          <w:sz w:val="18"/>
          <w:szCs w:val="18"/>
        </w:rPr>
        <w:t xml:space="preserve"> Depo belgeleri tek yönetici olarak “@adzetto” hesabını göstermektedir. İş planının 5.1 tablosu kritik sistemlerde en az iki kurucunun erişimini öngörmektedir. GitHub organizasyonu, mağaza geliştirici hesapları, alan adı ve hizmet hesapları şirket adına aktarılacak ve her birinde en az iki kurucu yetkilendirilecektir.</w:t>
      </w:r>
    </w:p>
    <w:p>
      <w:r>
        <w:br w:type="page"/>
      </w:r>
    </w:p>
    <w:p>
      <w:pPr>
        <w:pStyle w:val="Heading1"/>
        <w:keepNext/>
        <w:spacing w:after="100" w:before="260"/>
      </w:pPr>
      <w:r>
        <w:rPr>
          <w:rFonts w:ascii="Arial" w:cs="Arial" w:eastAsia="Arial" w:hAnsi="Arial"/>
          <w:b/>
          <w:bCs/>
          <w:i w:val="false"/>
          <w:iCs w:val="false"/>
          <w:color w:val="000000"/>
          <w:sz w:val="26"/>
          <w:szCs w:val="26"/>
        </w:rPr>
        <w:t xml:space="preserve">M.4 Kurucu fikri mülkiyet devir sözleşmesi taslağı</w:t>
      </w:r>
    </w:p>
    <w:p>
      <w:pPr>
        <w:spacing w:after="90"/>
      </w:pPr>
      <w:r>
        <w:rPr>
          <w:rFonts w:ascii="Arial" w:cs="Arial" w:eastAsia="Arial" w:hAnsi="Arial"/>
          <w:sz w:val="18"/>
          <w:szCs w:val="18"/>
        </w:rPr>
        <w:t xml:space="preserve">Bu bölümdeki metin hukuk/IP vekili kontrolünden geçecek taslaktır; imzalanmış bir sözleşme değildir. Taslak iş planının 2.6 alanındaki devir planını, çağrı duyurusunun §5.5 m.7 hükmünü ve YPSS'nin 3.7 maddesini esas almaktadır [K1, K2]. Taslakta atıf yapılan kanun maddeleri 30.09.2026'da mevzuat.gov.tr'deki güncel metinlerden doğrulanmıştır [K3–K6].</w:t>
      </w:r>
    </w:p>
    <w:p>
      <w:pPr>
        <w:pStyle w:val="Heading2"/>
        <w:keepNext/>
        <w:spacing w:after="80" w:before="180"/>
      </w:pPr>
      <w:r>
        <w:rPr>
          <w:rFonts w:ascii="Arial" w:cs="Arial" w:eastAsia="Arial" w:hAnsi="Arial"/>
          <w:b/>
          <w:bCs/>
          <w:i w:val="false"/>
          <w:iCs w:val="false"/>
          <w:color w:val="000000"/>
          <w:sz w:val="21"/>
          <w:szCs w:val="21"/>
        </w:rPr>
        <w:t xml:space="preserve">M.4.1 Taslağın dayandığı hükümler</w:t>
      </w:r>
    </w:p>
    <w:p>
      <w:pPr>
        <w:keepNext/>
        <w:spacing w:after="60" w:before="140"/>
      </w:pPr>
      <w:r>
        <w:rPr>
          <w:rFonts w:ascii="Arial" w:cs="Arial" w:eastAsia="Arial" w:hAnsi="Arial"/>
          <w:b/>
          <w:bCs/>
          <w:sz w:val="18"/>
          <w:szCs w:val="18"/>
        </w:rPr>
        <w:t xml:space="preserve">Tablo M-3. Devir sözleşmesi taslağının dayandığı hükümler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4754"/>
        <w:gridCol w:w="2973"/>
      </w:tblGrid>
      <w:tr>
        <w:trPr>
          <w:cantSplit/>
          <w:tblHeader/>
        </w:trPr>
        <w:tc>
          <w:tcPr>
            <w:tcW w:type="dxa" w:w="217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Hüküm</w:t>
            </w:r>
          </w:p>
        </w:tc>
        <w:tc>
          <w:tcPr>
            <w:tcW w:type="dxa" w:w="475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İçerik (özet)</w:t>
            </w:r>
          </w:p>
        </w:tc>
        <w:tc>
          <w:tcPr>
            <w:tcW w:type="dxa" w:w="297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Taslaktaki karşılığı</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FSEK md. 1/B-(g), md. 2/1-1</w:t>
            </w:r>
          </w:p>
        </w:tc>
        <w:tc>
          <w:tcPr>
            <w:tcW w:type="dxa" w:w="47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Bilgisayar programı ile program sonucu doğurması koşuluyla hazırlık tasarımları ilim ve edebiyat eseridir.</w:t>
            </w:r>
          </w:p>
        </w:tc>
        <w:tc>
          <w:tcPr>
            <w:tcW w:type="dxa" w:w="29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Madde 2 ve 4</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FSEK md. 2 (son fıkra)</w:t>
            </w:r>
          </w:p>
        </w:tc>
        <w:tc>
          <w:tcPr>
            <w:tcW w:type="dxa" w:w="47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 bilgisayar programının herhangi bir öğesine temel oluşturan düşünce ve ilkeler eser sayılmaz.</w:t>
            </w:r>
          </w:p>
        </w:tc>
        <w:tc>
          <w:tcPr>
            <w:tcW w:type="dxa" w:w="29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Fikir, yöntem ve know-how Madde 5 ve 12 ile sözleşmesel olarak devredilir ve gizli tutulur</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FSEK md. 8–10</w:t>
            </w:r>
          </w:p>
        </w:tc>
        <w:tc>
          <w:tcPr>
            <w:tcW w:type="dxa" w:w="47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Eser sahibi eseri meydana getirendir. Birlikte meydana getirilen eserde ayrılabilen kısımlar kendi sahiplerine, ayrılmaz bütün eser sahiplerinin birliğine aittir.</w:t>
            </w:r>
          </w:p>
        </w:tc>
        <w:tc>
          <w:tcPr>
            <w:tcW w:type="dxa" w:w="29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Üç kurucu da Devreden'dir</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FSEK md. 6/1-10, 6/1-11, Ek md. 8</w:t>
            </w:r>
          </w:p>
        </w:tc>
        <w:tc>
          <w:tcPr>
            <w:tcW w:type="dxa" w:w="47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Program uyarlaması ve veri tabanları işleme eserdir; veri tabanı yapımcısının hakkı aleniyetten itibaren 15 yıldır.</w:t>
            </w:r>
          </w:p>
        </w:tc>
        <w:tc>
          <w:tcPr>
            <w:tcW w:type="dxa" w:w="29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Madde 4/6</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FSEK md. 20–25</w:t>
            </w:r>
          </w:p>
        </w:tc>
        <w:tc>
          <w:tcPr>
            <w:tcW w:type="dxa" w:w="47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Mali haklar birbirinden bağımsızdır: işleme (md. 21), çoğaltma (md. 22), yayma (md. 23), temsil (md. 24), işaret, ses ve/veya görüntü nakline yarayan araçlarla umuma iletim (md. 25).</w:t>
            </w:r>
          </w:p>
        </w:tc>
        <w:tc>
          <w:tcPr>
            <w:tcW w:type="dxa" w:w="29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Madde 4'te ayrı ayrı sayılmıştır</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FSEK md. 48/1</w:t>
            </w:r>
          </w:p>
        </w:tc>
        <w:tc>
          <w:tcPr>
            <w:tcW w:type="dxa" w:w="47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Mali haklar süre, yer ve muhteva itibarıyla sınırlı ya da sınırsız, karşılıklı ya da karşılıksız devredilebilir.</w:t>
            </w:r>
          </w:p>
        </w:tc>
        <w:tc>
          <w:tcPr>
            <w:tcW w:type="dxa" w:w="29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Sınırsız, münhasır ve bedelsiz devir</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FSEK md. 48/3, md. 50</w:t>
            </w:r>
          </w:p>
        </w:tc>
        <w:tc>
          <w:tcPr>
            <w:tcW w:type="dxa" w:w="47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Henüz meydana getirilmemiş esere ilişkin tasarruf işlemi batıldır; bu esere ilişkin taahhüt geçerlidir. Gelecekteki eserlerin tümüne ilişkin taahhüt bir yıllık ihbarla feshedilebilir.</w:t>
            </w:r>
          </w:p>
        </w:tc>
        <w:tc>
          <w:tcPr>
            <w:tcW w:type="dxa" w:w="29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Madde 7: devir taahhüdü ve dönemsel ek devir beyanı</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FSEK md. 49</w:t>
            </w:r>
          </w:p>
        </w:tc>
        <w:tc>
          <w:tcPr>
            <w:tcW w:type="dxa" w:w="47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Devralan, hakkı başkasına ancak eser sahibinin yazılı muvafakatiyle devredebilir; işleme hakkının devrinde de muvafakat gerekir.</w:t>
            </w:r>
          </w:p>
        </w:tc>
        <w:tc>
          <w:tcPr>
            <w:tcW w:type="dxa" w:w="29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Madde 4: önceden verilen yazılı muvafakat</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FSEK md. 51</w:t>
            </w:r>
          </w:p>
        </w:tc>
        <w:tc>
          <w:tcPr>
            <w:tcW w:type="dxa" w:w="47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İleride çıkarılacak mevzuatın tanıyacağı hakların devri batıldır.</w:t>
            </w:r>
          </w:p>
        </w:tc>
        <w:tc>
          <w:tcPr>
            <w:tcW w:type="dxa" w:w="29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Taslak bu hakları kapsamaz</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FSEK md. 52</w:t>
            </w:r>
          </w:p>
        </w:tc>
        <w:tc>
          <w:tcPr>
            <w:tcW w:type="dxa" w:w="47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Mali haklara ilişkin sözleşme yazılı olmalı, konusu olan haklar ayrı ayrı gösterilmelidir.</w:t>
            </w:r>
          </w:p>
        </w:tc>
        <w:tc>
          <w:tcPr>
            <w:tcW w:type="dxa" w:w="29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Yazılı şekil; Madde 4</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FSEK md. 53</w:t>
            </w:r>
          </w:p>
        </w:tc>
        <w:tc>
          <w:tcPr>
            <w:tcW w:type="dxa" w:w="47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Hakkı devreden, hakkın varlığından sorumludur.</w:t>
            </w:r>
          </w:p>
        </w:tc>
        <w:tc>
          <w:tcPr>
            <w:tcW w:type="dxa" w:w="29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Madde 9</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FSEK md. 14–16</w:t>
            </w:r>
          </w:p>
        </w:tc>
        <w:tc>
          <w:tcPr>
            <w:tcW w:type="dxa" w:w="47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Manevi haklar. Şeref ve itibarı zedeleyen umuma arz ve değişikliklere karşı menetme yetkisinden sözleşmeyle vazgeçmek hükümsüzdür (md. 14/3, 16/3).</w:t>
            </w:r>
          </w:p>
        </w:tc>
        <w:tc>
          <w:tcPr>
            <w:tcW w:type="dxa" w:w="29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Madde 10</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FSEK md. 18/2</w:t>
            </w:r>
          </w:p>
        </w:tc>
        <w:tc>
          <w:tcPr>
            <w:tcW w:type="dxa" w:w="47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Aksi kararlaştırılmadıkça işçilerin ve tüzel kişi organlarının işlerini görürken meydana getirdikleri eserler üzerindeki haklar işverence kullanılır.</w:t>
            </w:r>
          </w:p>
        </w:tc>
        <w:tc>
          <w:tcPr>
            <w:tcW w:type="dxa" w:w="29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Madde 7/3</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Sınai Mülkiyet Kanunu (SMK, 6769 sayılı) m.148/4, 148/5, 148/8</w:t>
            </w:r>
          </w:p>
        </w:tc>
        <w:tc>
          <w:tcPr>
            <w:tcW w:type="dxa" w:w="47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Sınai mülkiyet hakkı ve başvurularının devri yazılı ve noter onaylı olmalıdır; sicile kaydedilmeyen işlem iyi niyetli üçüncü kişilere karşı ileri sürülemez.</w:t>
            </w:r>
          </w:p>
        </w:tc>
        <w:tc>
          <w:tcPr>
            <w:tcW w:type="dxa" w:w="29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Madde 5/2</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TTK md. 355/1, md. 395/1</w:t>
            </w:r>
          </w:p>
        </w:tc>
        <w:tc>
          <w:tcPr>
            <w:tcW w:type="dxa" w:w="47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Şirket tescille tüzel kişilik kazanır. Yönetim kurulu üyesi genel kurul izni olmadan şirketle işlem yapamaz.</w:t>
            </w:r>
          </w:p>
        </w:tc>
        <w:tc>
          <w:tcPr>
            <w:tcW w:type="dxa" w:w="29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Madde 14</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TTK md. 55/1-d; Türk Borçlar Kanunu (TBK, 6098 sayılı) md. 396</w:t>
            </w:r>
          </w:p>
        </w:tc>
        <w:tc>
          <w:tcPr>
            <w:tcW w:type="dxa" w:w="47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Üretim ve iş sırlarının hukuka aykırı ifşası haksız rekabettir; işçi iş sırlarını saklamakla yükümlüdür.</w:t>
            </w:r>
          </w:p>
        </w:tc>
        <w:tc>
          <w:tcPr>
            <w:tcW w:type="dxa" w:w="29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Madde 12</w:t>
            </w:r>
          </w:p>
        </w:tc>
      </w:tr>
    </w:tbl>
    <w:p>
      <w:pPr>
        <w:spacing w:after="60"/>
      </w:pPr>
    </w:p>
    <w:p>
      <w:pPr>
        <w:spacing w:after="100" w:before="40"/>
      </w:pPr>
      <w:r>
        <w:rPr>
          <w:rFonts w:ascii="Arial" w:cs="Arial" w:eastAsia="Arial" w:hAnsi="Arial"/>
          <w:i/>
          <w:iCs/>
          <w:color w:val="595959"/>
          <w:sz w:val="16"/>
          <w:szCs w:val="16"/>
        </w:rPr>
        <w:t xml:space="preserve">Not: Tablo kanun metinlerinin özetidir [K3–K6]; hukuki yorum hukuk/IP vekiline aittir.</w:t>
      </w:r>
    </w:p>
    <w:p>
      <w:pPr>
        <w:pStyle w:val="Heading2"/>
        <w:keepNext/>
        <w:spacing w:after="80" w:before="180"/>
      </w:pPr>
      <w:r>
        <w:rPr>
          <w:rFonts w:ascii="Arial" w:cs="Arial" w:eastAsia="Arial" w:hAnsi="Arial"/>
          <w:b/>
          <w:bCs/>
          <w:i w:val="false"/>
          <w:iCs w:val="false"/>
          <w:color w:val="000000"/>
          <w:sz w:val="21"/>
          <w:szCs w:val="21"/>
        </w:rPr>
        <w:t xml:space="preserve">M.4.2 Sözleşme metni (taslak)</w:t>
      </w:r>
    </w:p>
    <w:p>
      <w:pPr>
        <w:spacing w:after="90"/>
      </w:pPr>
      <w:r>
        <w:rPr>
          <w:rFonts w:ascii="Arial" w:cs="Arial" w:eastAsia="Arial" w:hAnsi="Arial"/>
          <w:b/>
          <w:bCs/>
          <w:sz w:val="18"/>
          <w:szCs w:val="18"/>
        </w:rPr>
        <w:t xml:space="preserve">KURUCU FİKRİ VE SINAİ MÜLKİYET HAKLARI DEVİR SÖZLEŞMESİ (TASLAK)</w:t>
      </w:r>
    </w:p>
    <w:p>
      <w:pPr>
        <w:spacing w:after="90"/>
      </w:pPr>
      <w:r>
        <w:rPr>
          <w:rFonts w:ascii="Arial" w:cs="Arial" w:eastAsia="Arial" w:hAnsi="Arial"/>
          <w:sz w:val="18"/>
          <w:szCs w:val="18"/>
        </w:rPr>
        <w:t xml:space="preserve">Hukuk/IP vekili kontrolünden geçecek taslaktır. Kimlik ve adres bilgileri imza aşamasında eklenecektir.</w:t>
      </w:r>
    </w:p>
    <w:p>
      <w:pPr>
        <w:spacing w:after="90"/>
      </w:pPr>
      <w:r>
        <w:rPr>
          <w:rFonts w:ascii="Arial" w:cs="Arial" w:eastAsia="Arial" w:hAnsi="Arial"/>
          <w:b/>
          <w:bCs/>
          <w:sz w:val="18"/>
          <w:szCs w:val="18"/>
        </w:rPr>
        <w:t xml:space="preserve">Madde 1. Taraflar.</w:t>
      </w:r>
      <w:r>
        <w:rPr>
          <w:rFonts w:ascii="Arial" w:cs="Arial" w:eastAsia="Arial" w:hAnsi="Arial"/>
          <w:sz w:val="18"/>
          <w:szCs w:val="18"/>
        </w:rPr>
        <w:t xml:space="preserve"> Bu Sözleşme, bir tarafta Aralık 2026'da kurulacak MotoMap Anonim Şirketi (“Şirket”) ile diğer tarafta aşağıdaki kişiler (birlikte “Devredenler”, her biri “Devreden”) arasında akdedilmiştir:</w:t>
      </w:r>
    </w:p>
    <w:p>
      <w:pPr>
        <w:pStyle w:val="ListParagraph"/>
        <w:numPr>
          <w:ilvl w:val="0"/>
          <w:numId w:val="4"/>
        </w:numPr>
        <w:spacing w:after="50"/>
      </w:pPr>
      <w:r>
        <w:rPr>
          <w:rFonts w:ascii="Arial" w:cs="Arial" w:eastAsia="Arial" w:hAnsi="Arial"/>
          <w:sz w:val="18"/>
          <w:szCs w:val="18"/>
        </w:rPr>
        <w:t xml:space="preserve">Ali Özuysal;</w:t>
      </w:r>
    </w:p>
    <w:p>
      <w:pPr>
        <w:pStyle w:val="ListParagraph"/>
        <w:numPr>
          <w:ilvl w:val="0"/>
          <w:numId w:val="4"/>
        </w:numPr>
        <w:spacing w:after="50"/>
      </w:pPr>
      <w:r>
        <w:rPr>
          <w:rFonts w:ascii="Arial" w:cs="Arial" w:eastAsia="Arial" w:hAnsi="Arial"/>
          <w:sz w:val="18"/>
          <w:szCs w:val="18"/>
        </w:rPr>
        <w:t xml:space="preserve">Muhammet Yağcıoğlu;</w:t>
      </w:r>
    </w:p>
    <w:p>
      <w:pPr>
        <w:pStyle w:val="ListParagraph"/>
        <w:numPr>
          <w:ilvl w:val="0"/>
          <w:numId w:val="4"/>
        </w:numPr>
        <w:spacing w:after="50"/>
      </w:pPr>
      <w:r>
        <w:rPr>
          <w:rFonts w:ascii="Arial" w:cs="Arial" w:eastAsia="Arial" w:hAnsi="Arial"/>
          <w:sz w:val="18"/>
          <w:szCs w:val="18"/>
        </w:rPr>
        <w:t xml:space="preserve">Hamidreza Khalaj Zahraei.</w:t>
      </w:r>
    </w:p>
    <w:p>
      <w:pPr>
        <w:spacing w:after="90"/>
      </w:pPr>
      <w:r>
        <w:rPr>
          <w:rFonts w:ascii="Arial" w:cs="Arial" w:eastAsia="Arial" w:hAnsi="Arial"/>
          <w:b/>
          <w:bCs/>
          <w:sz w:val="18"/>
          <w:szCs w:val="18"/>
        </w:rPr>
        <w:t xml:space="preserve">Madde 2. Tanımlar.</w:t>
      </w:r>
      <w:r>
        <w:rPr>
          <w:rFonts w:ascii="Arial" w:cs="Arial" w:eastAsia="Arial" w:hAnsi="Arial"/>
          <w:sz w:val="18"/>
          <w:szCs w:val="18"/>
        </w:rPr>
        <w:t xml:space="preserve"> Bu Sözleşmede geçen:</w:t>
      </w:r>
    </w:p>
    <w:p>
      <w:pPr>
        <w:pStyle w:val="ListParagraph"/>
        <w:numPr>
          <w:ilvl w:val="0"/>
          <w:numId w:val="5"/>
        </w:numPr>
        <w:spacing w:after="50"/>
      </w:pPr>
      <w:r>
        <w:rPr>
          <w:rFonts w:ascii="Arial" w:cs="Arial" w:eastAsia="Arial" w:hAnsi="Arial"/>
          <w:sz w:val="18"/>
          <w:szCs w:val="18"/>
        </w:rPr>
        <w:t xml:space="preserve">“Faaliyet Konusu”: motosiklet için rota, varış süresi ve çok duraklı teslimat sıralaması hesaplayan yazılımlar, mobil uygulama, filo paneli, rota hizmeti (API) ve bunlara ilişkin hizmetlerdir.</w:t>
      </w:r>
    </w:p>
    <w:p>
      <w:pPr>
        <w:pStyle w:val="ListParagraph"/>
        <w:numPr>
          <w:ilvl w:val="0"/>
          <w:numId w:val="5"/>
        </w:numPr>
        <w:spacing w:after="50"/>
      </w:pPr>
      <w:r>
        <w:rPr>
          <w:rFonts w:ascii="Arial" w:cs="Arial" w:eastAsia="Arial" w:hAnsi="Arial"/>
          <w:sz w:val="18"/>
          <w:szCs w:val="18"/>
        </w:rPr>
        <w:t xml:space="preserve">“Yazılım”: Faaliyet Konusuna ilişkin kaynak kodu, nesne kodu, derlenmiş çekirdekler, betikler, yapılandırma ve model dosyaları, testler ile program sonucu doğurması koşuluyla hazırlık tasarımlarıdır.</w:t>
      </w:r>
    </w:p>
    <w:p>
      <w:pPr>
        <w:pStyle w:val="ListParagraph"/>
        <w:numPr>
          <w:ilvl w:val="0"/>
          <w:numId w:val="5"/>
        </w:numPr>
        <w:spacing w:after="50"/>
      </w:pPr>
      <w:r>
        <w:rPr>
          <w:rFonts w:ascii="Arial" w:cs="Arial" w:eastAsia="Arial" w:hAnsi="Arial"/>
          <w:sz w:val="18"/>
          <w:szCs w:val="18"/>
        </w:rPr>
        <w:t xml:space="preserve">“Algoritma ve Yöntemler”: rota, varış süresi, hız farkı kestirimi, yol ağı işleme, dönüş kısıtları, viraj riski ve durak sıralamasına ilişkin modeller, parametreler, kalibrasyon kuralları ve bunların belgeleridir.</w:t>
      </w:r>
    </w:p>
    <w:p>
      <w:pPr>
        <w:pStyle w:val="ListParagraph"/>
        <w:numPr>
          <w:ilvl w:val="0"/>
          <w:numId w:val="5"/>
        </w:numPr>
        <w:spacing w:after="50"/>
      </w:pPr>
      <w:r>
        <w:rPr>
          <w:rFonts w:ascii="Arial" w:cs="Arial" w:eastAsia="Arial" w:hAnsi="Arial"/>
          <w:sz w:val="18"/>
          <w:szCs w:val="18"/>
        </w:rPr>
        <w:t xml:space="preserve">“Teknik Dokümantasyon”: raporlar, el kitapları, kod tanıtım belgeleri, mimari notlar, test ve yük testi raporlarıdır.</w:t>
      </w:r>
    </w:p>
    <w:p>
      <w:pPr>
        <w:pStyle w:val="ListParagraph"/>
        <w:numPr>
          <w:ilvl w:val="0"/>
          <w:numId w:val="5"/>
        </w:numPr>
        <w:spacing w:after="50"/>
      </w:pPr>
      <w:r>
        <w:rPr>
          <w:rFonts w:ascii="Arial" w:cs="Arial" w:eastAsia="Arial" w:hAnsi="Arial"/>
          <w:sz w:val="18"/>
          <w:szCs w:val="18"/>
        </w:rPr>
        <w:t xml:space="preserve">“Tasarımlar”: arayüz tasarımları, ekran akışları, görseller, logo ve marka işaretleri ile bunların kaynak ve üretim dosyalarıdır.</w:t>
      </w:r>
    </w:p>
    <w:p>
      <w:pPr>
        <w:pStyle w:val="ListParagraph"/>
        <w:numPr>
          <w:ilvl w:val="0"/>
          <w:numId w:val="5"/>
        </w:numPr>
        <w:spacing w:after="50"/>
      </w:pPr>
      <w:r>
        <w:rPr>
          <w:rFonts w:ascii="Arial" w:cs="Arial" w:eastAsia="Arial" w:hAnsi="Arial"/>
          <w:sz w:val="18"/>
          <w:szCs w:val="18"/>
        </w:rPr>
        <w:t xml:space="preserve">“Veri Modeli ve Veri Tabanları”: veritabanı şemaları, göç dosyaları, işlenmiş yol ağları ve Devredenlerin meydana getirdiği veri derlemeleridir; üçüncü taraf verileri bu tanıma girmez.</w:t>
      </w:r>
    </w:p>
    <w:p>
      <w:pPr>
        <w:pStyle w:val="ListParagraph"/>
        <w:numPr>
          <w:ilvl w:val="0"/>
          <w:numId w:val="5"/>
        </w:numPr>
        <w:spacing w:after="50"/>
      </w:pPr>
      <w:r>
        <w:rPr>
          <w:rFonts w:ascii="Arial" w:cs="Arial" w:eastAsia="Arial" w:hAnsi="Arial"/>
          <w:sz w:val="18"/>
          <w:szCs w:val="18"/>
        </w:rPr>
        <w:t xml:space="preserve">“Know-how ve Ticari Sırlar”: Faaliyet Konusuna ilişkin açıklanmamış teknik ve ticari bilgiler, fikir ve kavramlar ile kalibrasyon parametreleridir.</w:t>
      </w:r>
    </w:p>
    <w:p>
      <w:pPr>
        <w:pStyle w:val="ListParagraph"/>
        <w:numPr>
          <w:ilvl w:val="0"/>
          <w:numId w:val="5"/>
        </w:numPr>
        <w:spacing w:after="50"/>
      </w:pPr>
      <w:r>
        <w:rPr>
          <w:rFonts w:ascii="Arial" w:cs="Arial" w:eastAsia="Arial" w:hAnsi="Arial"/>
          <w:sz w:val="18"/>
          <w:szCs w:val="18"/>
        </w:rPr>
        <w:t xml:space="preserve">“Devredilen Varlıklar”: Faaliyet Konusuna ilişkin olarak Sözleşme tarihine kadar Devredenlerce tek başına ya da birlikte meydana getirilen Yazılım, Algoritma ve Yöntemler, Teknik Dokümantasyon, Tasarımlar, Veri Modeli ve Veri Tabanları, Know-how ve Ticari Sırlar ile bunlar üzerindeki sınai mülkiyet haklarıdır. Sözleşme Eki 1 örnek niteliğindedir.</w:t>
      </w:r>
    </w:p>
    <w:p>
      <w:pPr>
        <w:pStyle w:val="ListParagraph"/>
        <w:numPr>
          <w:ilvl w:val="0"/>
          <w:numId w:val="5"/>
        </w:numPr>
        <w:spacing w:after="50"/>
      </w:pPr>
      <w:r>
        <w:rPr>
          <w:rFonts w:ascii="Arial" w:cs="Arial" w:eastAsia="Arial" w:hAnsi="Arial"/>
          <w:sz w:val="18"/>
          <w:szCs w:val="18"/>
        </w:rPr>
        <w:t xml:space="preserve">“Üçüncü Taraf Bileşenleri”: Sözleşme Eki 3'te sayılan açık kaynak yazılımlar, yazı tipleri, veri setleri ve hizmetlerdir.</w:t>
      </w:r>
    </w:p>
    <w:p>
      <w:pPr>
        <w:pStyle w:val="ListParagraph"/>
        <w:numPr>
          <w:ilvl w:val="0"/>
          <w:numId w:val="5"/>
        </w:numPr>
        <w:spacing w:after="50"/>
      </w:pPr>
      <w:r>
        <w:rPr>
          <w:rFonts w:ascii="Arial" w:cs="Arial" w:eastAsia="Arial" w:hAnsi="Arial"/>
          <w:sz w:val="18"/>
          <w:szCs w:val="18"/>
        </w:rPr>
        <w:t xml:space="preserve">“Yatırım Aktarımı”: TÜBİTAK BİGG Fonu yatırımının Şirket hesabına aktarılmasıdır.</w:t>
      </w:r>
    </w:p>
    <w:p>
      <w:pPr>
        <w:spacing w:after="90"/>
      </w:pPr>
      <w:r>
        <w:rPr>
          <w:rFonts w:ascii="Arial" w:cs="Arial" w:eastAsia="Arial" w:hAnsi="Arial"/>
          <w:b/>
          <w:bCs/>
          <w:sz w:val="18"/>
          <w:szCs w:val="18"/>
        </w:rPr>
        <w:t xml:space="preserve">Madde 3. Konu.</w:t>
      </w:r>
      <w:r>
        <w:rPr>
          <w:rFonts w:ascii="Arial" w:cs="Arial" w:eastAsia="Arial" w:hAnsi="Arial"/>
          <w:sz w:val="18"/>
          <w:szCs w:val="18"/>
        </w:rPr>
        <w:t xml:space="preserve"> Sözleşmenin konusu, Devredilen Varlıklar üzerindeki devredilebilir tüm hakların Şirkete devri ile Sözleşme tarihinden sonra meydana getirilecek geliştirmelere ilişkin devir taahhüdüdür.</w:t>
      </w:r>
    </w:p>
    <w:p>
      <w:pPr>
        <w:spacing w:after="90"/>
      </w:pPr>
      <w:r>
        <w:rPr>
          <w:rFonts w:ascii="Arial" w:cs="Arial" w:eastAsia="Arial" w:hAnsi="Arial"/>
          <w:b/>
          <w:bCs/>
          <w:sz w:val="18"/>
          <w:szCs w:val="18"/>
        </w:rPr>
        <w:t xml:space="preserve">Madde 4. Devredilen mali haklar.</w:t>
      </w:r>
      <w:r>
        <w:rPr>
          <w:rFonts w:ascii="Arial" w:cs="Arial" w:eastAsia="Arial" w:hAnsi="Arial"/>
          <w:sz w:val="18"/>
          <w:szCs w:val="18"/>
        </w:rPr>
        <w:t xml:space="preserve"> Her Devreden, Devredilen Varlıklar üzerindeki aşağıdaki mali haklarını, her biri ayrı bir hak olarak, Şirkete devreder (FSEK md. 48/1, md. 52):</w:t>
      </w:r>
    </w:p>
    <w:p>
      <w:pPr>
        <w:pStyle w:val="ListParagraph"/>
        <w:numPr>
          <w:ilvl w:val="0"/>
          <w:numId w:val="6"/>
        </w:numPr>
        <w:spacing w:after="50"/>
      </w:pPr>
      <w:r>
        <w:rPr>
          <w:rFonts w:ascii="Arial" w:cs="Arial" w:eastAsia="Arial" w:hAnsi="Arial"/>
          <w:sz w:val="18"/>
          <w:szCs w:val="18"/>
        </w:rPr>
        <w:t xml:space="preserve">İşleme hakkı (md. 21): Yazılımın ve diğer eserlerin uyarlanması, değiştirilmesi, çevrilmesi, yeni sürüm ve türev eserlerinin meydana getirilmesi;</w:t>
      </w:r>
    </w:p>
    <w:p>
      <w:pPr>
        <w:pStyle w:val="ListParagraph"/>
        <w:numPr>
          <w:ilvl w:val="0"/>
          <w:numId w:val="6"/>
        </w:numPr>
        <w:spacing w:after="50"/>
      </w:pPr>
      <w:r>
        <w:rPr>
          <w:rFonts w:ascii="Arial" w:cs="Arial" w:eastAsia="Arial" w:hAnsi="Arial"/>
          <w:sz w:val="18"/>
          <w:szCs w:val="18"/>
        </w:rPr>
        <w:t xml:space="preserve">Çoğaltma hakkı (md. 22): eserlerin aslının ve kopyalarının her türlü şekil ve yöntemle, geçici ya da sürekli olarak çoğaltılması; Yazılımın yüklenmesi, görüntülenmesi, çalıştırılması, iletilmesi ve depolanması;</w:t>
      </w:r>
    </w:p>
    <w:p>
      <w:pPr>
        <w:pStyle w:val="ListParagraph"/>
        <w:numPr>
          <w:ilvl w:val="0"/>
          <w:numId w:val="6"/>
        </w:numPr>
        <w:spacing w:after="50"/>
      </w:pPr>
      <w:r>
        <w:rPr>
          <w:rFonts w:ascii="Arial" w:cs="Arial" w:eastAsia="Arial" w:hAnsi="Arial"/>
          <w:sz w:val="18"/>
          <w:szCs w:val="18"/>
        </w:rPr>
        <w:t xml:space="preserve">Yayma hakkı (md. 23): eserlerin aslının ya da kopyalarının satışı, kiralanması, ödünç verilmesi, lisanslanması ve uygulama mağazaları dahil her yolla dağıtılması;</w:t>
      </w:r>
    </w:p>
    <w:p>
      <w:pPr>
        <w:pStyle w:val="ListParagraph"/>
        <w:numPr>
          <w:ilvl w:val="0"/>
          <w:numId w:val="6"/>
        </w:numPr>
        <w:spacing w:after="50"/>
      </w:pPr>
      <w:r>
        <w:rPr>
          <w:rFonts w:ascii="Arial" w:cs="Arial" w:eastAsia="Arial" w:hAnsi="Arial"/>
          <w:sz w:val="18"/>
          <w:szCs w:val="18"/>
        </w:rPr>
        <w:t xml:space="preserve">Temsil hakkı (md. 24): eserlerden umuma açık yerlerde gösterim ve temsil yoluyla yararlanılması;</w:t>
      </w:r>
    </w:p>
    <w:p>
      <w:pPr>
        <w:pStyle w:val="ListParagraph"/>
        <w:numPr>
          <w:ilvl w:val="0"/>
          <w:numId w:val="6"/>
        </w:numPr>
        <w:spacing w:after="50"/>
      </w:pPr>
      <w:r>
        <w:rPr>
          <w:rFonts w:ascii="Arial" w:cs="Arial" w:eastAsia="Arial" w:hAnsi="Arial"/>
          <w:sz w:val="18"/>
          <w:szCs w:val="18"/>
        </w:rPr>
        <w:t xml:space="preserve">Umuma iletim hakkı (md. 25): eserlerin dijital iletim dahil işaret, ses ve/veya görüntü nakline yarayan araçlarla umuma iletilmesi ve gerçek kişilerin seçtikleri yer ve zamanda erişimine sunulması (hizmet olarak yazılım ve API kullanımı dahil);</w:t>
      </w:r>
    </w:p>
    <w:p>
      <w:pPr>
        <w:pStyle w:val="ListParagraph"/>
        <w:numPr>
          <w:ilvl w:val="0"/>
          <w:numId w:val="6"/>
        </w:numPr>
        <w:spacing w:after="50"/>
      </w:pPr>
      <w:r>
        <w:rPr>
          <w:rFonts w:ascii="Arial" w:cs="Arial" w:eastAsia="Arial" w:hAnsi="Arial"/>
          <w:sz w:val="18"/>
          <w:szCs w:val="18"/>
        </w:rPr>
        <w:t xml:space="preserve">Veri tabanı yapımcısının hakları (Ek md. 8).</w:t>
      </w:r>
    </w:p>
    <w:p>
      <w:pPr>
        <w:spacing w:after="90"/>
      </w:pPr>
      <w:r>
        <w:rPr>
          <w:rFonts w:ascii="Arial" w:cs="Arial" w:eastAsia="Arial" w:hAnsi="Arial"/>
          <w:sz w:val="18"/>
          <w:szCs w:val="18"/>
        </w:rPr>
        <w:t xml:space="preserve">Devir süre, yer ve muhteva bakımından sınırsız ve münhasırdır. Devredenler, Şirketin bu hakları üçüncü kişilere devretmesine, lisans vermesine ve işleme hakkını devretmesine şimdiden yazılı olarak muvafakat eder (FSEK md. 49).</w:t>
      </w:r>
    </w:p>
    <w:p>
      <w:pPr>
        <w:spacing w:after="90"/>
      </w:pPr>
      <w:r>
        <w:rPr>
          <w:rFonts w:ascii="Arial" w:cs="Arial" w:eastAsia="Arial" w:hAnsi="Arial"/>
          <w:b/>
          <w:bCs/>
          <w:sz w:val="18"/>
          <w:szCs w:val="18"/>
        </w:rPr>
        <w:t xml:space="preserve">Madde 5. Sınai mülkiyet hakları ve diğer haklar.</w:t>
      </w:r>
    </w:p>
    <w:p>
      <w:pPr>
        <w:pStyle w:val="ListParagraph"/>
        <w:numPr>
          <w:ilvl w:val="0"/>
          <w:numId w:val="7"/>
        </w:numPr>
        <w:spacing w:after="50"/>
      </w:pPr>
      <w:r>
        <w:rPr>
          <w:rFonts w:ascii="Arial" w:cs="Arial" w:eastAsia="Arial" w:hAnsi="Arial"/>
          <w:sz w:val="18"/>
          <w:szCs w:val="18"/>
        </w:rPr>
        <w:t xml:space="preserve">Devredilen Varlıklara ilişkin buluşlar üzerindeki patent ve faydalı model başvuru hakları Şirkete devredilir.</w:t>
      </w:r>
    </w:p>
    <w:p>
      <w:pPr>
        <w:pStyle w:val="ListParagraph"/>
        <w:numPr>
          <w:ilvl w:val="0"/>
          <w:numId w:val="7"/>
        </w:numPr>
        <w:spacing w:after="50"/>
      </w:pPr>
      <w:r>
        <w:rPr>
          <w:rFonts w:ascii="Arial" w:cs="Arial" w:eastAsia="Arial" w:hAnsi="Arial"/>
          <w:sz w:val="18"/>
          <w:szCs w:val="18"/>
        </w:rPr>
        <w:t xml:space="preserve">Devredenlerden biri adına yapılmış marka, patent ya da tasarım başvurusu veya tescili varsa bunun devri ayrı bir noter onaylı sözleşmeyle yapılır ve TÜRKPATENT siciline kaydettirilir (SMK m.148/4, 148/5, 148/8).</w:t>
      </w:r>
    </w:p>
    <w:p>
      <w:pPr>
        <w:pStyle w:val="ListParagraph"/>
        <w:numPr>
          <w:ilvl w:val="0"/>
          <w:numId w:val="7"/>
        </w:numPr>
        <w:spacing w:after="50"/>
      </w:pPr>
      <w:r>
        <w:rPr>
          <w:rFonts w:ascii="Arial" w:cs="Arial" w:eastAsia="Arial" w:hAnsi="Arial"/>
          <w:sz w:val="18"/>
          <w:szCs w:val="18"/>
        </w:rPr>
        <w:t xml:space="preserve">Sözleşme Eki 4'te sayılan alan adları, kod deposu organizasyonları, uygulama mağazası geliştirici hesapları ve hizmet hesapları Şirket adına aktarılır.</w:t>
      </w:r>
    </w:p>
    <w:p>
      <w:pPr>
        <w:pStyle w:val="ListParagraph"/>
        <w:numPr>
          <w:ilvl w:val="0"/>
          <w:numId w:val="7"/>
        </w:numPr>
        <w:spacing w:after="50"/>
      </w:pPr>
      <w:r>
        <w:rPr>
          <w:rFonts w:ascii="Arial" w:cs="Arial" w:eastAsia="Arial" w:hAnsi="Arial"/>
          <w:sz w:val="18"/>
          <w:szCs w:val="18"/>
        </w:rPr>
        <w:t xml:space="preserve">Know-how ve Ticari Sırlar, fikir ve kavramlar dahil olmak üzere, sözleşmesel olarak Şirkete devredilir; Devredenler bunları Şirket dışında kullanmaz.</w:t>
      </w:r>
    </w:p>
    <w:p>
      <w:pPr>
        <w:spacing w:after="90"/>
      </w:pPr>
      <w:r>
        <w:rPr>
          <w:rFonts w:ascii="Arial" w:cs="Arial" w:eastAsia="Arial" w:hAnsi="Arial"/>
          <w:b/>
          <w:bCs/>
          <w:sz w:val="18"/>
          <w:szCs w:val="18"/>
        </w:rPr>
        <w:t xml:space="preserve">Madde 6. Bedel.</w:t>
      </w:r>
      <w:r>
        <w:rPr>
          <w:rFonts w:ascii="Arial" w:cs="Arial" w:eastAsia="Arial" w:hAnsi="Arial"/>
          <w:sz w:val="18"/>
          <w:szCs w:val="18"/>
        </w:rPr>
        <w:t xml:space="preserve"> Devir karşılıksızdır (bedelsiz). Devirden doğabilecek vergisel sonuçlar mali müşavir görüşüyle değerlendirilir.</w:t>
      </w:r>
    </w:p>
    <w:p>
      <w:pPr>
        <w:spacing w:after="90"/>
      </w:pPr>
      <w:r>
        <w:rPr>
          <w:rFonts w:ascii="Arial" w:cs="Arial" w:eastAsia="Arial" w:hAnsi="Arial"/>
          <w:b/>
          <w:bCs/>
          <w:sz w:val="18"/>
          <w:szCs w:val="18"/>
        </w:rPr>
        <w:t xml:space="preserve">Madde 7. Gelecekteki geliştirmeler.</w:t>
      </w:r>
    </w:p>
    <w:p>
      <w:pPr>
        <w:pStyle w:val="ListParagraph"/>
        <w:numPr>
          <w:ilvl w:val="0"/>
          <w:numId w:val="8"/>
        </w:numPr>
        <w:spacing w:after="50"/>
      </w:pPr>
      <w:r>
        <w:rPr>
          <w:rFonts w:ascii="Arial" w:cs="Arial" w:eastAsia="Arial" w:hAnsi="Arial"/>
          <w:sz w:val="18"/>
          <w:szCs w:val="18"/>
        </w:rPr>
        <w:t xml:space="preserve">Devredenler, Sözleşme tarihinden sonra Şirkette pay sahibi ya da görevli oldukları sürece Faaliyet Konusuna ilişkin meydana getirecekleri eserler üzerindeki Madde 4'te sayılan mali hakları, eser meydana getirildikçe Şirkete devretmeyi taahhüt eder (FSEK md. 50/1).</w:t>
      </w:r>
    </w:p>
    <w:p>
      <w:pPr>
        <w:pStyle w:val="ListParagraph"/>
        <w:numPr>
          <w:ilvl w:val="0"/>
          <w:numId w:val="8"/>
        </w:numPr>
        <w:spacing w:after="50"/>
      </w:pPr>
      <w:r>
        <w:rPr>
          <w:rFonts w:ascii="Arial" w:cs="Arial" w:eastAsia="Arial" w:hAnsi="Arial"/>
          <w:sz w:val="18"/>
          <w:szCs w:val="18"/>
        </w:rPr>
        <w:t xml:space="preserve">Taahhüdün ifası için her üç ayda bir ve her ürün sürümünün yayımından önce, dönem içinde meydana getirilen eserleri sayan ek devir beyanı (Sözleşme Eki 5) imzalanır.</w:t>
      </w:r>
    </w:p>
    <w:p>
      <w:pPr>
        <w:pStyle w:val="ListParagraph"/>
        <w:numPr>
          <w:ilvl w:val="0"/>
          <w:numId w:val="8"/>
        </w:numPr>
        <w:spacing w:after="50"/>
      </w:pPr>
      <w:r>
        <w:rPr>
          <w:rFonts w:ascii="Arial" w:cs="Arial" w:eastAsia="Arial" w:hAnsi="Arial"/>
          <w:sz w:val="18"/>
          <w:szCs w:val="18"/>
        </w:rPr>
        <w:t xml:space="preserve">İş sözleşmesi, hizmet sözleşmesi ya da yönetim kurulu üyeliği kapsamında meydana getirilen eserler üzerindeki haklar FSEK md. 18/2 uyarınca Şirketçe kullanılır; ilgili sözleşmelere aynı yönde hüküm konur.</w:t>
      </w:r>
    </w:p>
    <w:p>
      <w:pPr>
        <w:pStyle w:val="ListParagraph"/>
        <w:numPr>
          <w:ilvl w:val="0"/>
          <w:numId w:val="8"/>
        </w:numPr>
        <w:spacing w:after="50"/>
      </w:pPr>
      <w:r>
        <w:rPr>
          <w:rFonts w:ascii="Arial" w:cs="Arial" w:eastAsia="Arial" w:hAnsi="Arial"/>
          <w:sz w:val="18"/>
          <w:szCs w:val="18"/>
        </w:rPr>
        <w:t xml:space="preserve">FSEK md. 50/2'de öngörülen bir yıllık ihbarla fesih hakkı saklıdır; fesih, fesih tarihine kadar meydana getirilmiş ve devredilmiş eserleri etkilemez.</w:t>
      </w:r>
    </w:p>
    <w:p>
      <w:pPr>
        <w:pStyle w:val="ListParagraph"/>
        <w:numPr>
          <w:ilvl w:val="0"/>
          <w:numId w:val="8"/>
        </w:numPr>
        <w:spacing w:after="50"/>
      </w:pPr>
      <w:r>
        <w:rPr>
          <w:rFonts w:ascii="Arial" w:cs="Arial" w:eastAsia="Arial" w:hAnsi="Arial"/>
          <w:sz w:val="18"/>
          <w:szCs w:val="18"/>
        </w:rPr>
        <w:t xml:space="preserve">Bu madde, YPSS'nin 3.7 maddesindeki, girişimciler ya da çalışanlar tarafından Şirketin faaliyet alanına dair geliştirilen tüm fikri ve sınai mülkiyet haklarının yalnız Şirkete ait olacağı hükmüyle birlikte uygulanır.</w:t>
      </w:r>
    </w:p>
    <w:p>
      <w:pPr>
        <w:spacing w:after="90"/>
      </w:pPr>
      <w:r>
        <w:rPr>
          <w:rFonts w:ascii="Arial" w:cs="Arial" w:eastAsia="Arial" w:hAnsi="Arial"/>
          <w:b/>
          <w:bCs/>
          <w:sz w:val="18"/>
          <w:szCs w:val="18"/>
        </w:rPr>
        <w:t xml:space="preserve">Madde 8. Üçüncü taraf ve açık kaynak bileşenler.</w:t>
      </w:r>
    </w:p>
    <w:p>
      <w:pPr>
        <w:pStyle w:val="ListParagraph"/>
        <w:numPr>
          <w:ilvl w:val="0"/>
          <w:numId w:val="9"/>
        </w:numPr>
        <w:spacing w:after="50"/>
      </w:pPr>
      <w:r>
        <w:rPr>
          <w:rFonts w:ascii="Arial" w:cs="Arial" w:eastAsia="Arial" w:hAnsi="Arial"/>
          <w:sz w:val="18"/>
          <w:szCs w:val="18"/>
        </w:rPr>
        <w:t xml:space="preserve">Sözleşme Eki 3'te sayılan Üçüncü Taraf Bileşenleri üzerindeki haklar Devredenlere ait olmadığından devre konu değildir; Şirket bu bileşenleri kendi lisans ve kullanım koşullarıyla kullanır.</w:t>
      </w:r>
    </w:p>
    <w:p>
      <w:pPr>
        <w:pStyle w:val="ListParagraph"/>
        <w:numPr>
          <w:ilvl w:val="0"/>
          <w:numId w:val="9"/>
        </w:numPr>
        <w:spacing w:after="50"/>
      </w:pPr>
      <w:r>
        <w:rPr>
          <w:rFonts w:ascii="Arial" w:cs="Arial" w:eastAsia="Arial" w:hAnsi="Arial"/>
          <w:sz w:val="18"/>
          <w:szCs w:val="18"/>
        </w:rPr>
        <w:t xml:space="preserve">Devredenler, Devredilen Varlıkların Sözleşme tarihine kadar hangi kişilere, hangi lisansla ve hangi tarihte kopya olarak verildiğini Sözleşme Eki 2'de beyan eder. Depolardaki MIT lisans dosyaları ve lisansa ilişkin diğer bildirimler bu beyanın kapsamındadır.</w:t>
      </w:r>
    </w:p>
    <w:p>
      <w:pPr>
        <w:pStyle w:val="ListParagraph"/>
        <w:numPr>
          <w:ilvl w:val="0"/>
          <w:numId w:val="9"/>
        </w:numPr>
        <w:spacing w:after="50"/>
      </w:pPr>
      <w:r>
        <w:rPr>
          <w:rFonts w:ascii="Arial" w:cs="Arial" w:eastAsia="Arial" w:hAnsi="Arial"/>
          <w:sz w:val="18"/>
          <w:szCs w:val="18"/>
        </w:rPr>
        <w:t xml:space="preserve">Devredenler, Sözleşme tarihinden sonra Devredilen Varlıkları açık kaynak ya da başka bir lisansla yayımlamaz ve üçüncü kişilere vermez.</w:t>
      </w:r>
    </w:p>
    <w:p>
      <w:pPr>
        <w:spacing w:after="90"/>
      </w:pPr>
      <w:r>
        <w:rPr>
          <w:rFonts w:ascii="Arial" w:cs="Arial" w:eastAsia="Arial" w:hAnsi="Arial"/>
          <w:b/>
          <w:bCs/>
          <w:sz w:val="18"/>
          <w:szCs w:val="18"/>
        </w:rPr>
        <w:t xml:space="preserve">Madde 9. Beyan ve tekeffül.</w:t>
      </w:r>
      <w:r>
        <w:rPr>
          <w:rFonts w:ascii="Arial" w:cs="Arial" w:eastAsia="Arial" w:hAnsi="Arial"/>
          <w:sz w:val="18"/>
          <w:szCs w:val="18"/>
        </w:rPr>
        <w:t xml:space="preserve"> Her Devreden; Sözleşme Eki 1'deki varlıkların kendi katkısı olduğunu ya da diğer Devredenlerle birlikte meydana getirildiğini, Sözleşme Eki 2 ve 3'te belirtilenler dışında bu varlıklar üzerinde üçüncü kişi lehine devir, lisans ya da rehin bulunmadığını, varlıkların bir işveren, yükseköğretim kurumu ya da proje kapsamında hak iddiasına konu olmadığını ve yapay zekâ araçlarıyla üretilen bölümleri Sözleşme Eki 6'da bildirdiğini kabul ve beyan eder (FSEK md. 53).</w:t>
      </w:r>
    </w:p>
    <w:p>
      <w:pPr>
        <w:spacing w:after="90"/>
      </w:pPr>
      <w:r>
        <w:rPr>
          <w:rFonts w:ascii="Arial" w:cs="Arial" w:eastAsia="Arial" w:hAnsi="Arial"/>
          <w:b/>
          <w:bCs/>
          <w:sz w:val="18"/>
          <w:szCs w:val="18"/>
        </w:rPr>
        <w:t xml:space="preserve">Madde 10. Manevi haklar.</w:t>
      </w:r>
      <w:r>
        <w:rPr>
          <w:rFonts w:ascii="Arial" w:cs="Arial" w:eastAsia="Arial" w:hAnsi="Arial"/>
          <w:sz w:val="18"/>
          <w:szCs w:val="18"/>
        </w:rPr>
        <w:t xml:space="preserve"> FSEK md. 14–16'da düzenlenen manevi haklar devredilemez. Devredenler; eserlerin umuma arz zamanı ve biçimine Şirketin karar vermesini (md. 14/1), eserlerin adları belirtilmeden Şirket adı altında kullanılmasını (md. 15/1) ve Yazılımın bakımı, uyarlanması ve geliştirilmesi için gereken değişiklikleri (md. 16/1–2) kabul eder; manevi haklarını Şirketin olağan ticari kullanımını engelleyecek biçimde kullanmamayı taahhüt eder. Şeref ve itibarı zedeleyen kullanımlara karşı md. 14/3 ve 16/3'teki menetme yetkileri saklıdır; bu yetkilerden vazgeçme kanunen hükümsüzdür.</w:t>
      </w:r>
    </w:p>
    <w:p>
      <w:pPr>
        <w:spacing w:after="90"/>
      </w:pPr>
      <w:r>
        <w:rPr>
          <w:rFonts w:ascii="Arial" w:cs="Arial" w:eastAsia="Arial" w:hAnsi="Arial"/>
          <w:b/>
          <w:bCs/>
          <w:sz w:val="18"/>
          <w:szCs w:val="18"/>
        </w:rPr>
        <w:t xml:space="preserve">Madde 11. Teslim.</w:t>
      </w:r>
      <w:r>
        <w:rPr>
          <w:rFonts w:ascii="Arial" w:cs="Arial" w:eastAsia="Arial" w:hAnsi="Arial"/>
          <w:sz w:val="18"/>
          <w:szCs w:val="18"/>
        </w:rPr>
        <w:t xml:space="preserve"> Devredenler, Sözleşme tarihinden itibaren içinde kaynak kod depolarını ve arşivleri, derleme ve kurulum talimatlarını, Teknik Dokümantasyonu, tasarım kaynak dosyalarını, hesap erişimlerini ve tarihli katkı kanıtlarını Şirkete teslim eder. Depolardaki lisans dosyaları ve telif bildirimleri Şirket adına güncellenir.</w:t>
      </w:r>
    </w:p>
    <w:p>
      <w:pPr>
        <w:spacing w:after="90"/>
      </w:pPr>
      <w:r>
        <w:rPr>
          <w:rFonts w:ascii="Arial" w:cs="Arial" w:eastAsia="Arial" w:hAnsi="Arial"/>
          <w:b/>
          <w:bCs/>
          <w:sz w:val="18"/>
          <w:szCs w:val="18"/>
        </w:rPr>
        <w:t xml:space="preserve">Madde 12. Gizlilik.</w:t>
      </w:r>
      <w:r>
        <w:rPr>
          <w:rFonts w:ascii="Arial" w:cs="Arial" w:eastAsia="Arial" w:hAnsi="Arial"/>
          <w:sz w:val="18"/>
          <w:szCs w:val="18"/>
        </w:rPr>
        <w:t xml:space="preserve"> Devredenler, Know-how ve Ticari Sırları, özellikle kalibrasyon parametrelerini, motosiklet hız farkı modelini ve bölgesel yol ağı işleme yöntemlerini süre sınırı olmaksızın gizli tutar ve Şirketin yazılı izni olmadan açıklamaz. Bu yükümlülük Devredenlerin Şirketle ilişkisi sona erdikten sonra da devam eder (TTK md. 55/1-d; iş ilişkisinde TBK md. 396).</w:t>
      </w:r>
    </w:p>
    <w:p>
      <w:pPr>
        <w:spacing w:after="90"/>
      </w:pPr>
      <w:r>
        <w:rPr>
          <w:rFonts w:ascii="Arial" w:cs="Arial" w:eastAsia="Arial" w:hAnsi="Arial"/>
          <w:b/>
          <w:bCs/>
          <w:sz w:val="18"/>
          <w:szCs w:val="18"/>
        </w:rPr>
        <w:t xml:space="preserve">Madde 13. Ek işlemler.</w:t>
      </w:r>
      <w:r>
        <w:rPr>
          <w:rFonts w:ascii="Arial" w:cs="Arial" w:eastAsia="Arial" w:hAnsi="Arial"/>
          <w:sz w:val="18"/>
          <w:szCs w:val="18"/>
        </w:rPr>
        <w:t xml:space="preserve"> Devredenler, devrin tescili, ispatı ve korunması için gereken beyanları, vekâletnameleri ve noter işlemlerini Şirketin talebi üzerine gecikmeksizin yapar.</w:t>
      </w:r>
    </w:p>
    <w:p>
      <w:pPr>
        <w:spacing w:after="90"/>
      </w:pPr>
      <w:r>
        <w:rPr>
          <w:rFonts w:ascii="Arial" w:cs="Arial" w:eastAsia="Arial" w:hAnsi="Arial"/>
          <w:b/>
          <w:bCs/>
          <w:sz w:val="18"/>
          <w:szCs w:val="18"/>
        </w:rPr>
        <w:t xml:space="preserve">Madde 14. Yürürlük.</w:t>
      </w:r>
      <w:r>
        <w:rPr>
          <w:rFonts w:ascii="Arial" w:cs="Arial" w:eastAsia="Arial" w:hAnsi="Arial"/>
          <w:sz w:val="18"/>
          <w:szCs w:val="18"/>
        </w:rPr>
        <w:t xml:space="preserve"> Sözleşme, Şirketin ticaret siciline tescilinden sonra (TTK md. 355/1) ve Yatırım Aktarımından önce tüm taraflarca imzalandığı tarihte yürürlüğe girer. Devredenlerin yönetim kurulu üyesi olması hâlinde TTK md. 395/1 kapsamında genel kurul izni gerekiyorsa bu izin imzadan önce alınır.</w:t>
      </w:r>
    </w:p>
    <w:p>
      <w:pPr>
        <w:spacing w:after="90"/>
      </w:pPr>
      <w:r>
        <w:rPr>
          <w:rFonts w:ascii="Arial" w:cs="Arial" w:eastAsia="Arial" w:hAnsi="Arial"/>
          <w:b/>
          <w:bCs/>
          <w:sz w:val="18"/>
          <w:szCs w:val="18"/>
        </w:rPr>
        <w:t xml:space="preserve">Madde 15. Uygulanacak hukuk ve uyuşmazlıklar.</w:t>
      </w:r>
      <w:r>
        <w:rPr>
          <w:rFonts w:ascii="Arial" w:cs="Arial" w:eastAsia="Arial" w:hAnsi="Arial"/>
          <w:sz w:val="18"/>
          <w:szCs w:val="18"/>
        </w:rPr>
        <w:t xml:space="preserve"> Sözleşmeye Türk hukuku uygulanır. Uyuşmazlıklarda Şirket merkezinin bulunduğu yer mahkemeleri ve icra daireleri yetkilidir.</w:t>
      </w:r>
    </w:p>
    <w:p>
      <w:pPr>
        <w:spacing w:after="90"/>
      </w:pPr>
      <w:r>
        <w:rPr>
          <w:rFonts w:ascii="Arial" w:cs="Arial" w:eastAsia="Arial" w:hAnsi="Arial"/>
          <w:b/>
          <w:bCs/>
          <w:sz w:val="18"/>
          <w:szCs w:val="18"/>
        </w:rPr>
        <w:t xml:space="preserve">Madde 16. Ekler ve nüshalar.</w:t>
      </w:r>
      <w:r>
        <w:rPr>
          <w:rFonts w:ascii="Arial" w:cs="Arial" w:eastAsia="Arial" w:hAnsi="Arial"/>
          <w:sz w:val="18"/>
          <w:szCs w:val="18"/>
        </w:rPr>
        <w:t xml:space="preserve"> Aşağıdaki ekler Sözleşmenin ayrılmaz parçasıdır:</w:t>
      </w:r>
    </w:p>
    <w:p>
      <w:pPr>
        <w:pStyle w:val="ListParagraph"/>
        <w:numPr>
          <w:ilvl w:val="0"/>
          <w:numId w:val="10"/>
        </w:numPr>
        <w:spacing w:after="50"/>
      </w:pPr>
      <w:r>
        <w:rPr>
          <w:rFonts w:ascii="Arial" w:cs="Arial" w:eastAsia="Arial" w:hAnsi="Arial"/>
          <w:sz w:val="18"/>
          <w:szCs w:val="18"/>
        </w:rPr>
        <w:t xml:space="preserve">Sözleşme Eki 1: Devredilen Varlıklar Listesi (bu ekin Tablo M-2'si esas alınır);</w:t>
      </w:r>
    </w:p>
    <w:p>
      <w:pPr>
        <w:pStyle w:val="ListParagraph"/>
        <w:numPr>
          <w:ilvl w:val="0"/>
          <w:numId w:val="10"/>
        </w:numPr>
        <w:spacing w:after="50"/>
      </w:pPr>
      <w:r>
        <w:rPr>
          <w:rFonts w:ascii="Arial" w:cs="Arial" w:eastAsia="Arial" w:hAnsi="Arial"/>
          <w:sz w:val="18"/>
          <w:szCs w:val="18"/>
        </w:rPr>
        <w:t xml:space="preserve">Sözleşme Eki 2: Önceki Kopya ve Lisans Beyanı;</w:t>
      </w:r>
    </w:p>
    <w:p>
      <w:pPr>
        <w:pStyle w:val="ListParagraph"/>
        <w:numPr>
          <w:ilvl w:val="0"/>
          <w:numId w:val="10"/>
        </w:numPr>
        <w:spacing w:after="50"/>
      </w:pPr>
      <w:r>
        <w:rPr>
          <w:rFonts w:ascii="Arial" w:cs="Arial" w:eastAsia="Arial" w:hAnsi="Arial"/>
          <w:sz w:val="18"/>
          <w:szCs w:val="18"/>
        </w:rPr>
        <w:t xml:space="preserve">Sözleşme Eki 3: Üçüncü Taraf Bileşenleri Listesi (bu ekin Tablo M-5–M-9'u esas alınır);</w:t>
      </w:r>
    </w:p>
    <w:p>
      <w:pPr>
        <w:pStyle w:val="ListParagraph"/>
        <w:numPr>
          <w:ilvl w:val="0"/>
          <w:numId w:val="10"/>
        </w:numPr>
        <w:spacing w:after="50"/>
      </w:pPr>
      <w:r>
        <w:rPr>
          <w:rFonts w:ascii="Arial" w:cs="Arial" w:eastAsia="Arial" w:hAnsi="Arial"/>
          <w:sz w:val="18"/>
          <w:szCs w:val="18"/>
        </w:rPr>
        <w:t xml:space="preserve">Sözleşme Eki 4: Alan Adı ve Hesap Listesi;</w:t>
      </w:r>
    </w:p>
    <w:p>
      <w:pPr>
        <w:pStyle w:val="ListParagraph"/>
        <w:numPr>
          <w:ilvl w:val="0"/>
          <w:numId w:val="10"/>
        </w:numPr>
        <w:spacing w:after="50"/>
      </w:pPr>
      <w:r>
        <w:rPr>
          <w:rFonts w:ascii="Arial" w:cs="Arial" w:eastAsia="Arial" w:hAnsi="Arial"/>
          <w:sz w:val="18"/>
          <w:szCs w:val="18"/>
        </w:rPr>
        <w:t xml:space="preserve">Sözleşme Eki 5: Ek Devir Beyanı Formu;</w:t>
      </w:r>
    </w:p>
    <w:p>
      <w:pPr>
        <w:pStyle w:val="ListParagraph"/>
        <w:numPr>
          <w:ilvl w:val="0"/>
          <w:numId w:val="10"/>
        </w:numPr>
        <w:spacing w:after="50"/>
      </w:pPr>
      <w:r>
        <w:rPr>
          <w:rFonts w:ascii="Arial" w:cs="Arial" w:eastAsia="Arial" w:hAnsi="Arial"/>
          <w:sz w:val="18"/>
          <w:szCs w:val="18"/>
        </w:rPr>
        <w:t xml:space="preserve">Sözleşme Eki 6: Yapay Zekâ Araçlarıyla Üretim Beyanı.</w:t>
      </w:r>
    </w:p>
    <w:p>
      <w:pPr>
        <w:spacing w:after="90"/>
      </w:pPr>
      <w:r>
        <w:rPr>
          <w:rFonts w:ascii="Arial" w:cs="Arial" w:eastAsia="Arial" w:hAnsi="Arial"/>
          <w:sz w:val="18"/>
          <w:szCs w:val="18"/>
        </w:rPr>
        <w:t xml:space="preserve">Sözleşme taraf sayısı kadar nüsha olarak düzenlenir.</w:t>
      </w:r>
    </w:p>
    <w:p>
      <w:pPr>
        <w:spacing w:after="90"/>
      </w:pPr>
      <w:r>
        <w:rPr>
          <w:rFonts w:ascii="Arial" w:cs="Arial" w:eastAsia="Arial" w:hAnsi="Arial"/>
          <w:sz w:val="18"/>
          <w:szCs w:val="18"/>
        </w:rPr>
        <w:t xml:space="preserve">Sözleşme, Şirket adına yetkili temsilci ve üç Devreden tarafından imzalanır.</w:t>
      </w:r>
    </w:p>
    <w:p>
      <w:pPr>
        <w:spacing w:after="100" w:before="40"/>
      </w:pPr>
      <w:r>
        <w:rPr>
          <w:rFonts w:ascii="Arial" w:cs="Arial" w:eastAsia="Arial" w:hAnsi="Arial"/>
          <w:i/>
          <w:iCs/>
          <w:color w:val="595959"/>
          <w:sz w:val="16"/>
          <w:szCs w:val="16"/>
        </w:rPr>
        <w:t xml:space="preserve">Not: Şirketi temsil edecek kişi aynı zamanda Devreden ise temsil biçimi ve TTK md. 395/1 kapsamındaki izin hukuk/IP vekilince değerlendirilecektir.</w:t>
      </w:r>
    </w:p>
    <w:p>
      <w:pPr>
        <w:pStyle w:val="Heading2"/>
        <w:keepNext/>
        <w:spacing w:after="80" w:before="180"/>
      </w:pPr>
      <w:r>
        <w:rPr>
          <w:rFonts w:ascii="Arial" w:cs="Arial" w:eastAsia="Arial" w:hAnsi="Arial"/>
          <w:b/>
          <w:bCs/>
          <w:i w:val="false"/>
          <w:iCs w:val="false"/>
          <w:color w:val="000000"/>
          <w:sz w:val="21"/>
          <w:szCs w:val="21"/>
        </w:rPr>
        <w:t xml:space="preserve">M.4.3 Hukuk/IP vekiline iletilecek notlar</w:t>
      </w:r>
    </w:p>
    <w:p>
      <w:pPr>
        <w:pStyle w:val="ListParagraph"/>
        <w:numPr>
          <w:ilvl w:val="0"/>
          <w:numId w:val="2"/>
        </w:numPr>
        <w:spacing w:after="50"/>
      </w:pPr>
      <w:r>
        <w:rPr>
          <w:rFonts w:ascii="Arial" w:cs="Arial" w:eastAsia="Arial" w:hAnsi="Arial"/>
          <w:b/>
          <w:bCs/>
          <w:sz w:val="18"/>
          <w:szCs w:val="18"/>
        </w:rPr>
        <w:t xml:space="preserve">Gelecekteki geliştirmeler.</w:t>
      </w:r>
      <w:r>
        <w:rPr>
          <w:rFonts w:ascii="Arial" w:cs="Arial" w:eastAsia="Arial" w:hAnsi="Arial"/>
          <w:sz w:val="18"/>
          <w:szCs w:val="18"/>
        </w:rPr>
        <w:t xml:space="preserve"> FSEK md. 48/3 henüz meydana getirilmemiş esere ilişkin tasarruf işlemini batıl saymakta, md. 50 aynı konudaki taahhüdü geçerli kabul etmekte ve gelecekteki eserlerin tümüne ilişkin taahhüde bir yıllık ihbarla fesih imkânı tanımaktadır. Taahhüt, dönemsel ek devir beyanı ve iş sözleşmesi (md. 18/2) birleşiminin yeterliliği değerlendirilecektir.</w:t>
      </w:r>
    </w:p>
    <w:p>
      <w:pPr>
        <w:pStyle w:val="ListParagraph"/>
        <w:numPr>
          <w:ilvl w:val="0"/>
          <w:numId w:val="2"/>
        </w:numPr>
        <w:spacing w:after="50"/>
      </w:pPr>
      <w:r>
        <w:rPr>
          <w:rFonts w:ascii="Arial" w:cs="Arial" w:eastAsia="Arial" w:hAnsi="Arial"/>
          <w:b/>
          <w:bCs/>
          <w:sz w:val="18"/>
          <w:szCs w:val="18"/>
        </w:rPr>
        <w:t xml:space="preserve">İmza zamanı.</w:t>
      </w:r>
      <w:r>
        <w:rPr>
          <w:rFonts w:ascii="Arial" w:cs="Arial" w:eastAsia="Arial" w:hAnsi="Arial"/>
          <w:sz w:val="18"/>
          <w:szCs w:val="18"/>
        </w:rPr>
        <w:t xml:space="preserve"> Çağrı duyurusu devrin yatırım öncesinde, YPSS ise kuruluş sonrasında yapılmasını öngörmektedir [K1, K2]. Taslak imzayı ticaret sicili tescili ile yatırım aktarımı arasına yerleştirmektedir.</w:t>
      </w:r>
    </w:p>
    <w:p>
      <w:pPr>
        <w:pStyle w:val="ListParagraph"/>
        <w:numPr>
          <w:ilvl w:val="0"/>
          <w:numId w:val="2"/>
        </w:numPr>
        <w:spacing w:after="50"/>
      </w:pPr>
      <w:r>
        <w:rPr>
          <w:rFonts w:ascii="Arial" w:cs="Arial" w:eastAsia="Arial" w:hAnsi="Arial"/>
          <w:b/>
          <w:bCs/>
          <w:sz w:val="18"/>
          <w:szCs w:val="18"/>
        </w:rPr>
        <w:t xml:space="preserve">Manevi haklar.</w:t>
      </w:r>
      <w:r>
        <w:rPr>
          <w:rFonts w:ascii="Arial" w:cs="Arial" w:eastAsia="Arial" w:hAnsi="Arial"/>
          <w:sz w:val="18"/>
          <w:szCs w:val="18"/>
        </w:rPr>
        <w:t xml:space="preserve"> YPSS'deki fikri ve sınai mülkiyet hakkı tanımı “bu hakların kullanılması için devri gereken manevi haklar” ifadesini içermektedir [K2]; ifadenin FSEK md. 14–16 ile ilişkisi değerlendirilecektir.</w:t>
      </w:r>
    </w:p>
    <w:p>
      <w:pPr>
        <w:pStyle w:val="ListParagraph"/>
        <w:numPr>
          <w:ilvl w:val="0"/>
          <w:numId w:val="2"/>
        </w:numPr>
        <w:spacing w:after="50"/>
      </w:pPr>
      <w:r>
        <w:rPr>
          <w:rFonts w:ascii="Arial" w:cs="Arial" w:eastAsia="Arial" w:hAnsi="Arial"/>
          <w:b/>
          <w:bCs/>
          <w:sz w:val="18"/>
          <w:szCs w:val="18"/>
        </w:rPr>
        <w:t xml:space="preserve">Genel kurul izni.</w:t>
      </w:r>
      <w:r>
        <w:rPr>
          <w:rFonts w:ascii="Arial" w:cs="Arial" w:eastAsia="Arial" w:hAnsi="Arial"/>
          <w:sz w:val="18"/>
          <w:szCs w:val="18"/>
        </w:rPr>
        <w:t xml:space="preserve"> Devredenlerin yönetim kurulu üyesi olması hâlinde TTK md. 395/1 uyarınca genel kurul izni gerekip gerekmediği değerlendirilecektir.</w:t>
      </w:r>
    </w:p>
    <w:p>
      <w:pPr>
        <w:pStyle w:val="ListParagraph"/>
        <w:numPr>
          <w:ilvl w:val="0"/>
          <w:numId w:val="2"/>
        </w:numPr>
        <w:spacing w:after="50"/>
      </w:pPr>
      <w:r>
        <w:rPr>
          <w:rFonts w:ascii="Arial" w:cs="Arial" w:eastAsia="Arial" w:hAnsi="Arial"/>
          <w:b/>
          <w:bCs/>
          <w:sz w:val="18"/>
          <w:szCs w:val="18"/>
        </w:rPr>
        <w:t xml:space="preserve">Şekil.</w:t>
      </w:r>
      <w:r>
        <w:rPr>
          <w:rFonts w:ascii="Arial" w:cs="Arial" w:eastAsia="Arial" w:hAnsi="Arial"/>
          <w:sz w:val="18"/>
          <w:szCs w:val="18"/>
        </w:rPr>
        <w:t xml:space="preserve"> FSEK md. 52 yazılı şekli aramaktadır; SMK kapsamındaki başvuru ve tescillerin devri noter onayına bağlıdır (m.148/4). Tarih kesinliği için sözleşmenin tümünün noter onayıyla düzenlenmesi değerlendirilecektir.</w:t>
      </w:r>
    </w:p>
    <w:p>
      <w:pPr>
        <w:pStyle w:val="ListParagraph"/>
        <w:numPr>
          <w:ilvl w:val="0"/>
          <w:numId w:val="2"/>
        </w:numPr>
        <w:spacing w:after="50"/>
      </w:pPr>
      <w:r>
        <w:rPr>
          <w:rFonts w:ascii="Arial" w:cs="Arial" w:eastAsia="Arial" w:hAnsi="Arial"/>
          <w:b/>
          <w:bCs/>
          <w:sz w:val="18"/>
          <w:szCs w:val="18"/>
        </w:rPr>
        <w:t xml:space="preserve">Önceki lisanslar.</w:t>
      </w:r>
      <w:r>
        <w:rPr>
          <w:rFonts w:ascii="Arial" w:cs="Arial" w:eastAsia="Arial" w:hAnsi="Arial"/>
          <w:sz w:val="18"/>
          <w:szCs w:val="18"/>
        </w:rPr>
        <w:t xml:space="preserve"> LICENSE dosyalarındaki MIT lisansının ve kullanım koşullarındaki açık kaynak ifadesinin, verilmiş kopyalar bakımından sonuçları değerlendirilecektir.</w:t>
      </w:r>
    </w:p>
    <w:p>
      <w:pPr>
        <w:pStyle w:val="ListParagraph"/>
        <w:numPr>
          <w:ilvl w:val="0"/>
          <w:numId w:val="2"/>
        </w:numPr>
        <w:spacing w:after="50"/>
      </w:pPr>
      <w:r>
        <w:rPr>
          <w:rFonts w:ascii="Arial" w:cs="Arial" w:eastAsia="Arial" w:hAnsi="Arial"/>
          <w:b/>
          <w:bCs/>
          <w:sz w:val="18"/>
          <w:szCs w:val="18"/>
        </w:rPr>
        <w:t xml:space="preserve">Diğer.</w:t>
      </w:r>
      <w:r>
        <w:rPr>
          <w:rFonts w:ascii="Arial" w:cs="Arial" w:eastAsia="Arial" w:hAnsi="Arial"/>
          <w:sz w:val="18"/>
          <w:szCs w:val="18"/>
        </w:rPr>
        <w:t xml:space="preserve"> Bedelsiz devrin vergisel sonuçları mali müşavirle, akademik danışmanlık sözleşmesi ve İYTE'nin fikri mülkiyet düzenlemeleri hukuk danışmanıyla kontrol edilecektir.</w:t>
      </w:r>
    </w:p>
    <w:p>
      <w:r>
        <w:br w:type="page"/>
      </w:r>
    </w:p>
    <w:p>
      <w:pPr>
        <w:pStyle w:val="Heading1"/>
        <w:keepNext/>
        <w:spacing w:after="100" w:before="260"/>
      </w:pPr>
      <w:r>
        <w:rPr>
          <w:rFonts w:ascii="Arial" w:cs="Arial" w:eastAsia="Arial" w:hAnsi="Arial"/>
          <w:b/>
          <w:bCs/>
          <w:i w:val="false"/>
          <w:iCs w:val="false"/>
          <w:color w:val="000000"/>
          <w:sz w:val="26"/>
          <w:szCs w:val="26"/>
        </w:rPr>
        <w:t xml:space="preserve">M.5 Açık kaynak ve üçüncü taraf bileşenler</w:t>
      </w:r>
    </w:p>
    <w:p>
      <w:pPr>
        <w:spacing w:after="90"/>
      </w:pPr>
      <w:r>
        <w:rPr>
          <w:rFonts w:ascii="Arial" w:cs="Arial" w:eastAsia="Arial" w:hAnsi="Arial"/>
          <w:sz w:val="18"/>
          <w:szCs w:val="18"/>
        </w:rPr>
        <w:t xml:space="preserve">Bu bölüm altı depodaki doğrudan bağımlılıkları, sunucu ve çalışma ortamı bileşenlerini ve veri ya da hizmet sağlayıcılarını listelemektedir. “Sürüm” sütununda depodaki bildirim (sürüm şartı ya da kilit dosyasındaki sürüm), parantez içinde lisansın okunduğu kurulu sürüm verilmiştir. Yükümlülükler Tablo M-4'teki kodlarla gösterilmiştir.</w:t>
      </w:r>
    </w:p>
    <w:p>
      <w:pPr>
        <w:pStyle w:val="Heading2"/>
        <w:keepNext/>
        <w:spacing w:after="80" w:before="180"/>
      </w:pPr>
      <w:r>
        <w:rPr>
          <w:rFonts w:ascii="Arial" w:cs="Arial" w:eastAsia="Arial" w:hAnsi="Arial"/>
          <w:b/>
          <w:bCs/>
          <w:i w:val="false"/>
          <w:iCs w:val="false"/>
          <w:color w:val="000000"/>
          <w:sz w:val="21"/>
          <w:szCs w:val="21"/>
        </w:rPr>
        <w:t xml:space="preserve">M.5.1 Lisans yükümlülük kodları</w:t>
      </w:r>
    </w:p>
    <w:p>
      <w:pPr>
        <w:keepNext/>
        <w:spacing w:after="60" w:before="140"/>
      </w:pPr>
      <w:r>
        <w:rPr>
          <w:rFonts w:ascii="Arial" w:cs="Arial" w:eastAsia="Arial" w:hAnsi="Arial"/>
          <w:b/>
          <w:bCs/>
          <w:sz w:val="18"/>
          <w:szCs w:val="18"/>
        </w:rPr>
        <w:t xml:space="preserve">Tablo M-4. Lisans türlerine göre yükümlülük kodları</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3"/>
        <w:gridCol w:w="2278"/>
        <w:gridCol w:w="4160"/>
        <w:gridCol w:w="2775"/>
      </w:tblGrid>
      <w:tr>
        <w:trPr>
          <w:cantSplit/>
          <w:tblHeader/>
        </w:trPr>
        <w:tc>
          <w:tcPr>
            <w:tcW w:type="dxa" w:w="69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Kod</w:t>
            </w:r>
          </w:p>
        </w:tc>
        <w:tc>
          <w:tcPr>
            <w:tcW w:type="dxa" w:w="227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Lisans</w:t>
            </w:r>
          </w:p>
        </w:tc>
        <w:tc>
          <w:tcPr>
            <w:tcW w:type="dxa" w:w="41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Yükümlülük özeti</w:t>
            </w:r>
          </w:p>
        </w:tc>
        <w:tc>
          <w:tcPr>
            <w:tcW w:type="dxa" w:w="277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MotoMap'te doğduğu durum</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 BSD-2-Clause, BSD-3-Clause, ISC, 0BSD, MIT-CMU, PostgreSQL License, PSF tabanlı lisanslar</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Kaynak ya da ikili biçimde dağıtımda telif bildirimi ve lisans metni verilir. BSD-3-Clause'da katkı sahiplerinin adı yazılı izin olmadan tanıtımda kullanılmaz.</w:t>
            </w:r>
          </w:p>
        </w:tc>
        <w:tc>
          <w:tcPr>
            <w:tcW w:type="dxa" w:w="27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Mobil uygulamanın ve web derlemesinin dağıtımında; yalnız sunucuda çalışan bileşenlerde dağıtım doğmaz</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Y2</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Apache-2.0</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Dağıtımda lisans metni verilir, değiştirilen dosyalarda değişiklik bildirilir, NOTICE dosyası varsa içeriği korunur. Lisans bir patent lisansı içerir; çalışma hakkında patent davası açan kullanıcının bu patent lisansı sona erer.</w:t>
            </w:r>
          </w:p>
        </w:tc>
        <w:tc>
          <w:tcPr>
            <w:tcW w:type="dxa" w:w="27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ve web derlemesinde; GraphHopper imajı üçüncü kişiye verilirse NOTICE.md ile birlikte</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Y3</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Mozilla Public License 2.0 (MPL-2.0)</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Dosya düzeyinde copyleft: MPL dosyaları değiştirilip dağıtılırsa değiştirilen dosyaların kaynak kodu MPL-2.0 ile sunulur.</w:t>
            </w:r>
          </w:p>
        </w:tc>
        <w:tc>
          <w:tcPr>
            <w:tcW w:type="dxa" w:w="27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tqdm (sunucu), portal derleme araçları; dağıtım yoktur</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Y4</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GNU Lesser General Public License 3.0 (LGPL-3.0)</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Kütüphane değiştirilip dağıtılırsa kaynak kodu sunulur; ikili dağıtımda lisans metni verilir ve kütüphanenin değiştirilebilmesine olanak tanınır.</w:t>
            </w:r>
          </w:p>
        </w:tc>
        <w:tc>
          <w:tcPr>
            <w:tcW w:type="dxa" w:w="27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Portalın isteğe bağlı sharp/libvips ikilisi; GraphHopper içindeki OSM-binary; sunucu kullanımında dağıtım yoktur</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Y5</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SIL Open Font License 1.1 (OFL-1.1)</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Yazı tipi tek başına satılamaz; dağıtımda telif bildirimi ve lisans metni verilir. Değiştirilmiş sürüm OFL ile kalır ve Ayrılmış Yazı Tipi Adını (RFN) taşıyamaz.</w:t>
            </w:r>
          </w:p>
        </w:tc>
        <w:tc>
          <w:tcPr>
            <w:tcW w:type="dxa" w:w="27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Sans (uygulama); Geist, Inter, Source Serif 4, D-DIN (site)</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Y6</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GNU Affero General Public License 3.0 (AGPL-3.0), URW yazı tipi istisnasıyla</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Yazı tipi dosyasının dağıtımında AGPL-3.0 metni ve karşılık gelen kaynak sunulur; istisna yalnız PostScript ve PDF belgelerine gömmeyi kapsar.</w:t>
            </w:r>
          </w:p>
        </w:tc>
        <w:tc>
          <w:tcPr>
            <w:tcW w:type="dxa" w:w="27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Nimbus Roman (site)</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Y7</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Redis Source Available License 2.0 (RSALv2) ya da Server Side Public License 1 (SSPLv1)</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RSALv2'de yazılımın işlevini üçüncü kişilere yönetilen hizmet olarak sunmak ve yazılımı ticarileştirmek yasaktır; kendi hizmetinde iç kullanım serbesttir.</w:t>
            </w:r>
          </w:p>
        </w:tc>
        <w:tc>
          <w:tcPr>
            <w:tcW w:type="dxa" w:w="27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Redis önbelleği yalnız MotoMap hizmetinin iç bileşenidir</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Y8</w:t>
            </w:r>
          </w:p>
        </w:tc>
        <w:tc>
          <w:tcPr>
            <w:tcW w:type="dxa" w:w="22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Microsoft Limited Public License 1.1</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Lisans yalnız Microsoft Windows üzerinde doğrudan çalışan yazılım ve türev işler için verilir.</w:t>
            </w:r>
          </w:p>
        </w:tc>
        <w:tc>
          <w:tcPr>
            <w:tcW w:type="dxa" w:w="27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ps2exe ile derlenen iç dağıtım aracı</w:t>
            </w:r>
          </w:p>
        </w:tc>
      </w:tr>
    </w:tbl>
    <w:p>
      <w:pPr>
        <w:spacing w:after="60"/>
      </w:pPr>
    </w:p>
    <w:p>
      <w:pPr>
        <w:spacing w:after="100" w:before="40"/>
      </w:pPr>
      <w:r>
        <w:rPr>
          <w:rFonts w:ascii="Arial" w:cs="Arial" w:eastAsia="Arial" w:hAnsi="Arial"/>
          <w:i/>
          <w:iCs/>
          <w:color w:val="595959"/>
          <w:sz w:val="16"/>
          <w:szCs w:val="16"/>
        </w:rPr>
        <w:t xml:space="preserve">Not: Özetler lisans metinlerinden ve resmî lisans sayfalarından alınmıştır [K23, K30, K35, K38]; Apache-2.0 metni uygulama bağımlılıklarının LICENSE dosyalarından okunmuştur.</w:t>
      </w:r>
    </w:p>
    <w:p>
      <w:pPr>
        <w:pStyle w:val="Heading2"/>
        <w:keepNext/>
        <w:spacing w:after="80" w:before="180"/>
      </w:pPr>
      <w:r>
        <w:rPr>
          <w:rFonts w:ascii="Arial" w:cs="Arial" w:eastAsia="Arial" w:hAnsi="Arial"/>
          <w:b/>
          <w:bCs/>
          <w:i w:val="false"/>
          <w:iCs w:val="false"/>
          <w:color w:val="000000"/>
          <w:sz w:val="21"/>
          <w:szCs w:val="21"/>
        </w:rPr>
        <w:t xml:space="preserve">M.5.2 Rota motoru (motomap-engine)</w:t>
      </w:r>
    </w:p>
    <w:p>
      <w:pPr>
        <w:keepNext/>
        <w:spacing w:after="60" w:before="140"/>
      </w:pPr>
      <w:r>
        <w:rPr>
          <w:rFonts w:ascii="Arial" w:cs="Arial" w:eastAsia="Arial" w:hAnsi="Arial"/>
          <w:b/>
          <w:bCs/>
          <w:sz w:val="18"/>
          <w:szCs w:val="18"/>
        </w:rPr>
        <w:t xml:space="preserve">Tablo M-5. motomap-engine doğrudan Python bağımlılıkları (requirements.txt)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2"/>
        <w:gridCol w:w="1584"/>
        <w:gridCol w:w="2080"/>
        <w:gridCol w:w="2971"/>
        <w:gridCol w:w="1389"/>
      </w:tblGrid>
      <w:tr>
        <w:trPr>
          <w:cantSplit/>
          <w:tblHeader/>
        </w:trPr>
        <w:tc>
          <w:tcPr>
            <w:tcW w:type="dxa" w:w="188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Bileşen</w:t>
            </w:r>
          </w:p>
        </w:tc>
        <w:tc>
          <w:tcPr>
            <w:tcW w:type="dxa" w:w="15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Sürüm şartı (kurulu sürüm)</w:t>
            </w:r>
          </w:p>
        </w:tc>
        <w:tc>
          <w:tcPr>
            <w:tcW w:type="dxa" w:w="20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Lisans</w:t>
            </w:r>
          </w:p>
        </w:tc>
        <w:tc>
          <w:tcPr>
            <w:tcW w:type="dxa" w:w="29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Kullanım</w:t>
            </w:r>
          </w:p>
        </w:tc>
        <w:tc>
          <w:tcPr>
            <w:tcW w:type="dxa" w:w="138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Yükümlülük</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osmnx</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≥2.0.0 (2.1.0)</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OSM yol ağının indirilmesi ve grafa dönüştürülmesi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networkx</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 (3.6.1)</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BSD-3-Clause</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Graf veri yapısı, referans en kısa yol</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pandas</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 (2.3.3)</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BSD-3-Clause</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 işleme</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geopandas</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≥0.14 (1.1.2)</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BSD-3-Clause</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Mekânsal veri işleme</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numpy</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≥1.24 (2.4.4)</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BSD-3-Clause AND 0BSD AND MIT AND Zlib AND CC0-1.0</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Sayısal hesap</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python-dotenv</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 (1.1.0)</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BSD-3-Clause</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Ortam değişkenleri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requests</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≥2.31 (2.32.5)</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Apache-2.0</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HTTP istekleri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Y2</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pytest</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≥7.0 (9.0.2)</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Test (geliştirme)</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aiosqlite</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≥0.20 (0.22.1)</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Test veritabanı</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matplotlib</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≥3.8 (3.10.9)</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Matplotlib lisansı (PSF tabanlı)</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Grafik üretimi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SciencePlots</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≥2.1 (2.2.1)</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Grafik biçimleri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rich</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≥13.7 (14.2.0)</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Konsol çıktısı</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tqdm</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≥4.66 (4.67.1)</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MPL-2.0 AND MIT</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İlerleme göstergesi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Y3</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fastapi</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≥0.115 (0.135.2)</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API çatısı</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uvicorn[standard]</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≥0.32 (0.42.0)</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BSD-3-Clause</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Web sunucusu (ASGI)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sqlalchemy[asyncio]</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 (2.0.48)</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Veritabanı erişimi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asyncpg</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≥0.30 (0.31.0)</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Apache-2.0</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PostgreSQL sürücüsü</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Y2</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alembic</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≥1.14 (1.18.4)</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Şema göçleri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pydantic[email]</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 (2.12.3)</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 ek paket email-validator: Unlicense</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 doğrulama</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python-jose[cryptography]</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≥3.3 (3.5.0)</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Kimlik belirteci (JWT)</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bcrypt</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≥4.0 (5.0.0)</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Apache-2.0</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Parola özeti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Y2</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httpx</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≥0.27 (0.28.1)</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BSD-3-Clause</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HTTP istemcisi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redis (Python istemcisi)</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≥5.0 (8.0.0)</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Redis bağlantısı</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passlib</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≥1.7 (1.7.4)</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BSD</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Parola işlemleri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python-multipart</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≥0.0.12 (0.0.24)</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Apache-2.0</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Form verisi ayrıştırma</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Y2</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Pillow</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 (12.2.0)</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MIT-CMU</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Görsellerin yeniden kodlanması, görsel meta verisinin (EXIF) silinmesi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cython</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 (3.3.0)</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Apache-2.0</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CCH çekirdeğinin derlenmesi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Y2</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pymetis</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≥2023.1, yalnız Linux (yerelde kurulu değil)</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 (sarmalayıcı); içerdiği METIS Apache-2.0 [K36]</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CCH düğüm sıralaması</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 Y2</w:t>
            </w:r>
          </w:p>
        </w:tc>
      </w:tr>
      <w:tr>
        <w:trPr>
          <w:cantSplit/>
          <w:tblHeader w:val="off"/>
        </w:trPr>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setuptools</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≥68 (80.9.0)</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Derleme</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bl>
    <w:p>
      <w:pPr>
        <w:spacing w:after="60"/>
      </w:pPr>
    </w:p>
    <w:p>
      <w:pPr>
        <w:spacing w:after="100" w:before="40"/>
      </w:pPr>
      <w:r>
        <w:rPr>
          <w:rFonts w:ascii="Arial" w:cs="Arial" w:eastAsia="Arial" w:hAnsi="Arial"/>
          <w:i/>
          <w:iCs/>
          <w:color w:val="595959"/>
          <w:sz w:val="16"/>
          <w:szCs w:val="16"/>
        </w:rPr>
        <w:t xml:space="preserve">Not: Motor deposundaki requirements.txt dosyası yalnız en düşük sürümleri belirtmektedir; üretim imajındaki sürümler kurulum tarihine göre değişebilir. Lisanslar yerel geliştirme ortamındaki paket meta verisinden okunmuştur. Bileşenlerin tamamı sunucuda çalışmaktadır ve kullanıcılara dağıtılmamaktadır.</w:t>
      </w:r>
    </w:p>
    <w:p>
      <w:pPr>
        <w:pStyle w:val="Heading2"/>
        <w:keepNext/>
        <w:spacing w:after="80" w:before="180"/>
      </w:pPr>
      <w:r>
        <w:rPr>
          <w:rFonts w:ascii="Arial" w:cs="Arial" w:eastAsia="Arial" w:hAnsi="Arial"/>
          <w:b/>
          <w:bCs/>
          <w:i w:val="false"/>
          <w:iCs w:val="false"/>
          <w:color w:val="000000"/>
          <w:sz w:val="21"/>
          <w:szCs w:val="21"/>
        </w:rPr>
        <w:t xml:space="preserve">M.5.3 Mobil uygulama ve önizleme uygulaması</w:t>
      </w:r>
    </w:p>
    <w:p>
      <w:pPr>
        <w:keepNext/>
        <w:spacing w:after="60" w:before="140"/>
      </w:pPr>
      <w:r>
        <w:rPr>
          <w:rFonts w:ascii="Arial" w:cs="Arial" w:eastAsia="Arial" w:hAnsi="Arial"/>
          <w:b/>
          <w:bCs/>
          <w:sz w:val="18"/>
          <w:szCs w:val="18"/>
        </w:rPr>
        <w:t xml:space="preserve">Tablo M-6. motomap-app ve motomap-app-ui doğrudan Flutter bağımlılıkları ve gömülü yazı tipi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7"/>
        <w:gridCol w:w="1386"/>
        <w:gridCol w:w="2377"/>
        <w:gridCol w:w="2377"/>
        <w:gridCol w:w="1389"/>
      </w:tblGrid>
      <w:tr>
        <w:trPr>
          <w:cantSplit/>
          <w:tblHeader/>
        </w:trPr>
        <w:tc>
          <w:tcPr>
            <w:tcW w:type="dxa" w:w="237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Bileşen</w:t>
            </w:r>
          </w:p>
        </w:tc>
        <w:tc>
          <w:tcPr>
            <w:tcW w:type="dxa" w:w="138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Sürüm (pubspec.lock)</w:t>
            </w:r>
          </w:p>
        </w:tc>
        <w:tc>
          <w:tcPr>
            <w:tcW w:type="dxa" w:w="237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Lisans</w:t>
            </w:r>
          </w:p>
        </w:tc>
        <w:tc>
          <w:tcPr>
            <w:tcW w:type="dxa" w:w="237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Kullanım</w:t>
            </w:r>
          </w:p>
        </w:tc>
        <w:tc>
          <w:tcPr>
            <w:tcW w:type="dxa" w:w="138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Yükümlülük</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Flutter SDK (flutter, flutter_localizations, flutter_test)</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SDK</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BSD-3-Clause [K33]</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çatısı, yerelleştirme, test</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http</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1.6.0</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BSD-3-Clause</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API istemcisi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geolocator</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13.0.4</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GNSS (uydu konum) erişimi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cupertino_icons</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1.0.9</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iOS simgeleri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flutter_secure_storage</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10.3.1</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BSD-3-Clause</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Güvenli anahtar deposu</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flutter_tts</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4.2.5</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Sesli yönlendirme</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flutter_svg</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2.3.0</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Vektör marka işaretleri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image_picker</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1.2.3</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BSD-3-Clause; içerdiği aFileChooser bileşeni Apache-2.0</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Fotoğraf ekleme</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 Y2</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gal</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2.3.3</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BSD-3-Clause</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Galeriye kaydetme</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material_symbols_icons</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4.2951.0 (app); 4.2960.0 (app-ui)</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Apache-2.0</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Simge seti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Y2</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google_maps_flutter</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2.17.1</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BSD-3-Clause (eklenti); Google Maps SDK koşulları ayrıca uygulanır</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Harita altlığı</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 Tablo M-9</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google_maps_flutter_web</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0.6.2+3</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BSD-3-Clause</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Web harita altlığı</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 Tablo M-9</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google_sign_in</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7.2.0</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BSD-3-Clause</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ile giriş</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sign_in_with_apple</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8.1.0</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Apple ile giriş</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flutter_facebook_auth</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7.2.0</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Facebook ile giriş</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crypto</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3.0.7</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BSD-3-Clause</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Özet fonksiyonları</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in_app_purchase; in_app_purchase_android; in_app_purchase_storekit</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3.3.0; 0.5.2; 0.4.11</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BSD-3-Clause</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Mağaza aboneliği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url_launcher</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6.3.2</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BSD-3-Clause</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Bağlantı açma</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flutter_lints (geliştirme)</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5.0.0</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BSD-3-Clause</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Kod denetimi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Dağıtılmaz</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flutter_launcher_icons (geliştirme)</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0.14.4</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ikonu üretimi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Dağıtılmaz</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Sans yazı tipi</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Mona Sans v2.000 türevi</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OFL-1.1; Ayrılmış Yazı Tipi Adı “Mona” [K34]</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Uygulamanın tek yazı ailesi</w:t>
            </w:r>
          </w:p>
        </w:tc>
        <w:tc>
          <w:tcPr>
            <w:tcW w:type="dxa" w:w="13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Y5</w:t>
            </w:r>
          </w:p>
        </w:tc>
      </w:tr>
    </w:tbl>
    <w:p>
      <w:pPr>
        <w:spacing w:after="60"/>
      </w:pPr>
    </w:p>
    <w:p>
      <w:pPr>
        <w:spacing w:after="100" w:before="40"/>
      </w:pPr>
      <w:r>
        <w:rPr>
          <w:rFonts w:ascii="Arial" w:cs="Arial" w:eastAsia="Arial" w:hAnsi="Arial"/>
          <w:i/>
          <w:iCs/>
          <w:color w:val="595959"/>
          <w:sz w:val="16"/>
          <w:szCs w:val="16"/>
        </w:rPr>
        <w:t xml:space="preserve">Not: Lisanslar yerel paket önbelleğindeki LICENSE dosyalarından okunmuştur. Önizleme uygulaması (motomap-app-ui), motomap-app'i yol bağımlılığı olarak kullanmaktadır. Uygulamanın hesap ekranındaki “Lisanslar” satırı Flutter'ın lisans sayfasını açmaktadır [K42]; web derlemesi bağımlılık lisanslarını assets/NOTICES dosyasında, MotoMap Sans'ın OFL metnini ayrı dosya olarak yayımlamaktadır [K44]. MotoMap Sans, Mona Sans'ın tek glifi ve adı değiştirilmiş sürümüdür; yeni ad “Mona” ayrılmış adını içermemektedir.</w:t>
      </w:r>
    </w:p>
    <w:p>
      <w:pPr>
        <w:pStyle w:val="Heading2"/>
        <w:keepNext/>
        <w:spacing w:after="80" w:before="180"/>
      </w:pPr>
      <w:r>
        <w:rPr>
          <w:rFonts w:ascii="Arial" w:cs="Arial" w:eastAsia="Arial" w:hAnsi="Arial"/>
          <w:b/>
          <w:bCs/>
          <w:i w:val="false"/>
          <w:iCs w:val="false"/>
          <w:color w:val="000000"/>
          <w:sz w:val="21"/>
          <w:szCs w:val="21"/>
        </w:rPr>
        <w:t xml:space="preserve">M.5.4 Web bileşenleri, dağıtım aracı ve sunucu ortamı</w:t>
      </w:r>
    </w:p>
    <w:p>
      <w:pPr>
        <w:keepNext/>
        <w:spacing w:after="60" w:before="140"/>
      </w:pPr>
      <w:r>
        <w:rPr>
          <w:rFonts w:ascii="Arial" w:cs="Arial" w:eastAsia="Arial" w:hAnsi="Arial"/>
          <w:b/>
          <w:bCs/>
          <w:sz w:val="18"/>
          <w:szCs w:val="18"/>
        </w:rPr>
        <w:t xml:space="preserve">Tablo M-7. motomap-portal doğrudan npm bağımlılıkları (package.json)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8"/>
        <w:gridCol w:w="1584"/>
        <w:gridCol w:w="1188"/>
        <w:gridCol w:w="2575"/>
        <w:gridCol w:w="1191"/>
      </w:tblGrid>
      <w:tr>
        <w:trPr>
          <w:cantSplit/>
          <w:tblHeader/>
        </w:trPr>
        <w:tc>
          <w:tcPr>
            <w:tcW w:type="dxa" w:w="336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Bileşen</w:t>
            </w:r>
          </w:p>
        </w:tc>
        <w:tc>
          <w:tcPr>
            <w:tcW w:type="dxa" w:w="15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Sürüm (kurulu)</w:t>
            </w:r>
          </w:p>
        </w:tc>
        <w:tc>
          <w:tcPr>
            <w:tcW w:type="dxa" w:w="118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Lisans</w:t>
            </w:r>
          </w:p>
        </w:tc>
        <w:tc>
          <w:tcPr>
            <w:tcW w:type="dxa" w:w="257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Kullanım</w:t>
            </w:r>
          </w:p>
        </w:tc>
        <w:tc>
          <w:tcPr>
            <w:tcW w:type="dxa" w:w="119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Yükümlülük</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next</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16.2.4</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Web çatısı</w:t>
            </w:r>
          </w:p>
        </w:tc>
        <w:tc>
          <w:tcPr>
            <w:tcW w:type="dxa" w:w="11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react; react-dom</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19.2.4</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Arayüz kütüphanesi</w:t>
            </w:r>
          </w:p>
        </w:tc>
        <w:tc>
          <w:tcPr>
            <w:tcW w:type="dxa" w:w="11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framer-motion; motion</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12.38.0</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Animasyon</w:t>
            </w:r>
          </w:p>
        </w:tc>
        <w:tc>
          <w:tcPr>
            <w:tcW w:type="dxa" w:w="11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lucide-react</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1.8.0</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ISC</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Simge seti</w:t>
            </w:r>
          </w:p>
        </w:tc>
        <w:tc>
          <w:tcPr>
            <w:tcW w:type="dxa" w:w="11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clsx</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2.1.1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Sınıf adı birleştirme</w:t>
            </w:r>
          </w:p>
        </w:tc>
        <w:tc>
          <w:tcPr>
            <w:tcW w:type="dxa" w:w="11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zustand</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5.0.12</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Durum yönetimi</w:t>
            </w:r>
          </w:p>
        </w:tc>
        <w:tc>
          <w:tcPr>
            <w:tcW w:type="dxa" w:w="11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@tailwindcss/container-queries</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0.1.1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Stil eklentisi</w:t>
            </w:r>
          </w:p>
        </w:tc>
        <w:tc>
          <w:tcPr>
            <w:tcW w:type="dxa" w:w="11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tailwindcss; @tailwindcss/postcss (geliştirme)</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4.2.2</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Stil derleme</w:t>
            </w:r>
          </w:p>
        </w:tc>
        <w:tc>
          <w:tcPr>
            <w:tcW w:type="dxa" w:w="11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typescript (geliştirme)</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5.9.3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Apache-2.0</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Tür denetimi</w:t>
            </w:r>
          </w:p>
        </w:tc>
        <w:tc>
          <w:tcPr>
            <w:tcW w:type="dxa" w:w="11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Dağıtılmaz</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eslint; eslint-config-next (geliştirme)</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9.39.4; 16.2.4</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Kod denetimi</w:t>
            </w:r>
          </w:p>
        </w:tc>
        <w:tc>
          <w:tcPr>
            <w:tcW w:type="dxa" w:w="11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Dağıtılmaz</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@types/node; @types/react; @types/react-dom (geliştirme)</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20.19.39; 19.2.14; 19.2.3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MIT</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Tür tanımları</w:t>
            </w:r>
          </w:p>
        </w:tc>
        <w:tc>
          <w:tcPr>
            <w:tcW w:type="dxa" w:w="11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Dağıtılmaz</w:t>
            </w:r>
          </w:p>
        </w:tc>
      </w:tr>
    </w:tbl>
    <w:p>
      <w:pPr>
        <w:spacing w:after="60"/>
      </w:pPr>
    </w:p>
    <w:p>
      <w:pPr>
        <w:spacing w:after="100" w:before="40"/>
      </w:pPr>
      <w:r>
        <w:rPr>
          <w:rFonts w:ascii="Arial" w:cs="Arial" w:eastAsia="Arial" w:hAnsi="Arial"/>
          <w:i/>
          <w:iCs/>
          <w:color w:val="595959"/>
          <w:sz w:val="16"/>
          <w:szCs w:val="16"/>
        </w:rPr>
        <w:t xml:space="preserve">Not: Portalın node_modules dizinindeki 361 paketin lisans dağılımı şöyledir: MIT 305, Apache-2.0 20, ISC 18, BSD-2-Clause 7, MPL-2.0 3 (axe-core ve lightningcss paketleri), BSD-3-Clause 2; BlueOak-1.0.0, Python-2.0, CC-BY-4.0, CC0-1.0 ve 0BSD lisanslı birer paket. İsteğe bağlı görsel işleme ikilisi @img/sharp-win32-x64 “Apache-2.0 AND LGPL-3.0-or-later” lisanslıdır. GPL ya da AGPL lisanslı paket bulunmamaktadır.</w:t>
      </w:r>
    </w:p>
    <w:p>
      <w:pPr>
        <w:keepNext/>
        <w:spacing w:after="60" w:before="140"/>
      </w:pPr>
      <w:r>
        <w:rPr>
          <w:rFonts w:ascii="Arial" w:cs="Arial" w:eastAsia="Arial" w:hAnsi="Arial"/>
          <w:b/>
          <w:bCs/>
          <w:sz w:val="18"/>
          <w:szCs w:val="18"/>
        </w:rPr>
        <w:t xml:space="preserve">Tablo M-8. Tanıtım sitesi, dağıtım aracı ve sunucu ortamı bileşenleri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1981"/>
        <w:gridCol w:w="2377"/>
        <w:gridCol w:w="2179"/>
        <w:gridCol w:w="1388"/>
      </w:tblGrid>
      <w:tr>
        <w:trPr>
          <w:cantSplit/>
          <w:tblHeader/>
        </w:trPr>
        <w:tc>
          <w:tcPr>
            <w:tcW w:type="dxa" w:w="198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Bileşen</w:t>
            </w:r>
          </w:p>
        </w:tc>
        <w:tc>
          <w:tcPr>
            <w:tcW w:type="dxa" w:w="198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Sürüm ve konum</w:t>
            </w:r>
          </w:p>
        </w:tc>
        <w:tc>
          <w:tcPr>
            <w:tcW w:type="dxa" w:w="237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Lisans</w:t>
            </w:r>
          </w:p>
        </w:tc>
        <w:tc>
          <w:tcPr>
            <w:tcW w:type="dxa" w:w="217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Kullanım</w:t>
            </w:r>
          </w:p>
        </w:tc>
        <w:tc>
          <w:tcPr>
            <w:tcW w:type="dxa" w:w="138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Yükümlülük</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Leaflet</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1.9.4; motomap-website/assets/vendor</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BSD-2-Clause [K37]</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Vitrin haritası</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Geist; Geist Mono</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1.800; 1.701</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OFL-1.1 [K37]</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Site yazı tipleri</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Y5; lisans metni depoda yoktur</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Inter</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4.001</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OFL-1.1 [K37]</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Site yazı tipi</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Y5; lisans metni depoda yoktur</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Source Serif 4</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4.004</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OFL-1.1; Ayrılmış Yazı Tipi Adı “Source” [K37]</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Site yazı tipi</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Y5; lisans metni depoda yoktur</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D-DIN (yalnız rakamlar)</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Alt küme dosyası</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OFL-1.1; Ayrılmış Yazı Tipi Adı “D-DIN”</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Site rakamları</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Y5; OFL-D-DIN.txt depodadır</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Nimbus Roman</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1.00 (URW++ 2014)</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AGPL-3.0 ve PostScript/PDF gömme istisnası [K35]</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“Kayıtlı ölçüm” rozetinde serif yazı</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Y6</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ps2exe (PowerShell modülü)</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Derleme sırasında kurulur</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Microsoft Limited Public License 1.1 [K38]</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motomap-deploy.exe derlemesi</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Y8</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PostgreSQL</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 (postgres:16-alpine)</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PostgreSQL License [K32]</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Veritabanı</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Y1</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Redis</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7.4 (redis:7-alpine)</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RSALv2 ya da SSPLv1 [K30]</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Önbellek</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Y7</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GraphHopper</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11.0; resmî graphhopper-web-11.0.jar, değiştirilmeden</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Apache-2.0; NOTICE.md; içerdiği OSM-binary LGPL [K31]</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Türkiye geneli ülke grafı (etkin dal)</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Y2, Y4</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Python taban imajı</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python:3.13-slim</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Taranmamıştır</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API imajı</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Tarama yapılacaktır</w:t>
            </w:r>
          </w:p>
        </w:tc>
      </w:tr>
      <w:tr>
        <w:trPr>
          <w:cantSplit/>
          <w:tblHeader w:val="off"/>
        </w:trPr>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Java taban imajı</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eclipse-temurin:21-jre</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Taranmamıştır</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GraphHopper imajı</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Tarama yapılacaktır</w:t>
            </w:r>
          </w:p>
        </w:tc>
      </w:tr>
    </w:tbl>
    <w:p>
      <w:pPr>
        <w:spacing w:after="60"/>
      </w:pPr>
    </w:p>
    <w:p>
      <w:pPr>
        <w:spacing w:after="100" w:before="40"/>
      </w:pPr>
      <w:r>
        <w:rPr>
          <w:rFonts w:ascii="Arial" w:cs="Arial" w:eastAsia="Arial" w:hAnsi="Arial"/>
          <w:i/>
          <w:iCs/>
          <w:color w:val="595959"/>
          <w:sz w:val="16"/>
          <w:szCs w:val="16"/>
        </w:rPr>
        <w:t xml:space="preserve">Not: Docker Hub'daki redis:7-alpine etiketi 30.09.2026'da redis:7.4-alpine ile aynı imaj özetini göstermektedir [K30]. GraphHopper yapılandırması (config.yml) ve üç sürüş modunun özel model dosyaları MotoMap'in kendi çalışmasıdır. Site yazı tiplerinin lisans bilgisi dosyaların ad tablosundan ve resmî depolardan okunmuştur.</w:t>
      </w:r>
    </w:p>
    <w:p>
      <w:pPr>
        <w:pStyle w:val="Heading2"/>
        <w:keepNext/>
        <w:spacing w:after="80" w:before="180"/>
      </w:pPr>
      <w:r>
        <w:rPr>
          <w:rFonts w:ascii="Arial" w:cs="Arial" w:eastAsia="Arial" w:hAnsi="Arial"/>
          <w:b/>
          <w:bCs/>
          <w:i w:val="false"/>
          <w:iCs w:val="false"/>
          <w:color w:val="000000"/>
          <w:sz w:val="21"/>
          <w:szCs w:val="21"/>
        </w:rPr>
        <w:t xml:space="preserve">M.5.5 Veri ve hizmet sağlayıcıları</w:t>
      </w:r>
    </w:p>
    <w:p>
      <w:pPr>
        <w:keepNext/>
        <w:spacing w:after="60" w:before="140"/>
      </w:pPr>
      <w:r>
        <w:rPr>
          <w:rFonts w:ascii="Arial" w:cs="Arial" w:eastAsia="Arial" w:hAnsi="Arial"/>
          <w:b/>
          <w:bCs/>
          <w:sz w:val="18"/>
          <w:szCs w:val="18"/>
        </w:rPr>
        <w:t xml:space="preserve">Tablo M-9. Veri ve hizmet sağlayıcıları, koşullar ve yapılacak işler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4"/>
        <w:gridCol w:w="2179"/>
        <w:gridCol w:w="3467"/>
        <w:gridCol w:w="2576"/>
      </w:tblGrid>
      <w:tr>
        <w:trPr>
          <w:cantSplit/>
          <w:tblHeader/>
        </w:trPr>
        <w:tc>
          <w:tcPr>
            <w:tcW w:type="dxa" w:w="16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Sağlayıcı ve veri</w:t>
            </w:r>
          </w:p>
        </w:tc>
        <w:tc>
          <w:tcPr>
            <w:tcW w:type="dxa" w:w="217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MotoMap'teki kullanım</w:t>
            </w:r>
          </w:p>
        </w:tc>
        <w:tc>
          <w:tcPr>
            <w:tcW w:type="dxa" w:w="346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Koşul ve yükümlülük</w:t>
            </w:r>
          </w:p>
        </w:tc>
        <w:tc>
          <w:tcPr>
            <w:tcW w:type="dxa" w:w="257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Durum ve yapılacak iş</w:t>
            </w:r>
          </w:p>
        </w:tc>
      </w:tr>
      <w:tr>
        <w:trPr>
          <w:cantSplit/>
          <w:tblHeader w:val="off"/>
        </w:trPr>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OpenStreetMap verisi: osmnx ve Overpass API ile indirilen yol ağı ve dönüş kısıtları; GraphHopper için Geofabrik Türkiye özütü</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motorunun yol ağı, dönüş kısıtları, hız sınırı etiketi</w:t>
            </w:r>
          </w:p>
        </w:tc>
        <w:tc>
          <w:tcPr>
            <w:tcW w:type="dxa" w:w="34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ODbL 1.0: üretilmiş çalışmanın herkese açık kullanımında veri kaynağı bildirimi (4.3); herkese açık kullanılan türev veri tabanında aynı lisans (4.4) ve türev veri tabanına ya da değişiklik dosyasına erişim (4.6); toplu veri tabanları ve üretilmiş çalışmalar paylaşım koşulunun dışındadır (4.5) [K23]. OpenStreetMap Vakfı (OSMF) yönergesine göre OSM'de bulunmayan bir veri türünü ekleyen OSM dışı veri toplu veri tabanı oluşturabilir [K24].</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Uygulamanın harita yüzeylerinde “© OpenStreetMap katkıcıları” bildirimi ve openstreetmap.org/copyright bağlantısı, kullanım koşullarında ODbL ibaresi bulunmaktadır. API yanıtlarında atıf alanı yoktur; rota hizmeti (API) sözleşmelerine atıf hükmü eklenecektir.</w:t>
            </w:r>
          </w:p>
        </w:tc>
      </w:tr>
      <w:tr>
        <w:trPr>
          <w:cantSplit/>
          <w:tblHeader w:val="off"/>
        </w:trPr>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Overpass API kamuya açık sunucusu (overpass-api.de)</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Yol ağı ve dönüş kısıtı indirme (disk önbelleğiyle)</w:t>
            </w:r>
          </w:p>
        </w:tc>
        <w:tc>
          <w:tcPr>
            <w:tcW w:type="dxa" w:w="34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Kamuya açık sunucularda günde yaklaşık 10.000 istek ve 1 GB veri beklenir; haritacı olmayan kullanıcılara hizmet veren uygulamaların kamuya açık sunucuları arka uç olarak kullanması uygun görülmemektedir [K27].</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Ticari hizmette kendi Overpass sunucusu ya da Geofabrik özütü kullanılacaktır.</w:t>
            </w:r>
          </w:p>
        </w:tc>
      </w:tr>
      <w:tr>
        <w:trPr>
          <w:cantSplit/>
          <w:tblHeader w:val="off"/>
        </w:trPr>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HERE Traffic API v7 (akış verisi)</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180 saniyede bir canlı trafik; akış gözlemlerinin traffic_snapshots tablosuna yalnız ekleme biçiminde yazılması (hız farkı kestiricisinin otomobil tarafı)</w:t>
            </w:r>
          </w:p>
        </w:tc>
        <w:tc>
          <w:tcPr>
            <w:tcW w:type="dxa" w:w="34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HERE Platform Terms (18.09.2023): sonuçlar Platform dışında 30 günden uzun saklanamaz (6.4(j)); HERE içerikleri makine öğrenmesi, yapay zekâ ve öngörü analitiği sistemleriyle bağlantılı kullanılamaz (6.4(f)); üçüncü taraf veri setlerinin karşılaştırmalı değerlendirmesi ve HERE'e rakip ürün geliştirme yasaktır (6.4(g)); açık kaynak yükümlülüğü doğuran birleştirme yasaktır (6.4(b)); HERE telif bildirimleri son kullanıcıya gösterilir (13.1, Ek 5) [K25].</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Uygulamada HERE atfı bulunmamaktadır. Yazılı ticari lisans; saklama süresini, hız farkı modelinde kullanımı, OSM verisiyle eşlemeyi, rota hizmeti (API) satışını ve atfı açıkça düzenleyecektir. Lisans imzalanana kadar traffic_snapshots tablosunun üretimde HERE verisiyle doldurulmaması önerilmektedir.</w:t>
            </w:r>
          </w:p>
        </w:tc>
      </w:tr>
      <w:tr>
        <w:trPr>
          <w:cantSplit/>
          <w:tblHeader w:val="off"/>
        </w:trPr>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Maps Platform: Maps SDK ve JavaScript API, Places, Geocoding, Elevation, Routes</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Uygulamada harita altlığı; yer ve adres arama; rota yükseklik profili; Routes API etkin dalda son çare olarak varsayılan kapalıdır</w:t>
            </w:r>
          </w:p>
        </w:tc>
        <w:tc>
          <w:tcPr>
            <w:tcW w:type="dxa" w:w="34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Elevation API politikası: içerik önceden alınamaz, önbelleğe alınamaz ve saklanamaz (yer kimlikleri hariç); haritada gösterilen sonuçlar Google haritasında gösterilir (son güncelleme 24.09.2026) [K26].</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Motor düğüm yüksekliklerini Elevation API'den alıp graf disk önbelleğine yazmakta, rota yükseklik sonuçlarını 24 saat önbellekte tutmaktadır. Kullanım politikaya uygun hâle getirilecek ya da açık lisanslı yükseklik modeline geçilecektir. Places atıfları uygulamada gösterilmektedir.</w:t>
            </w:r>
          </w:p>
        </w:tc>
      </w:tr>
      <w:tr>
        <w:trPr>
          <w:cantSplit/>
          <w:tblHeader w:val="off"/>
        </w:trPr>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OpenWeather (hava durumu API'si)</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Sürüş kaydında hava durumu</w:t>
            </w:r>
          </w:p>
        </w:tc>
        <w:tc>
          <w:tcPr>
            <w:tcW w:type="dxa" w:w="34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 ve veri tabanı ODbL lisanslıdır; uygulamada görünür atıf gerekir [K28].</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Uygulamada OpenWeather atfı bulunamamıştır; eklenecektir.</w:t>
            </w:r>
          </w:p>
        </w:tc>
      </w:tr>
      <w:tr>
        <w:trPr>
          <w:cantSplit/>
          <w:tblHeader w:val="off"/>
        </w:trPr>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Open Topo Data, EU-DEM 25 m</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anahtarı yoksa düğüm yüksekliği yedeği</w:t>
            </w:r>
          </w:p>
        </w:tc>
        <w:tc>
          <w:tcPr>
            <w:tcW w:type="dxa" w:w="34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Copernicus koşulları: kamuya sunumda kaynak bildirilir, uyarlama belirtilir, Avrupa Birliği onayı izlenimi verilmez [K29]. Kamuya açık API'nin kullanım sınırı sayfada belirtilmemiştir.</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Kullanılması hâlinde kaynak bildirimi eklenecektir.</w:t>
            </w:r>
          </w:p>
        </w:tc>
      </w:tr>
      <w:tr>
        <w:trPr>
          <w:cantSplit/>
          <w:tblHeader w:val="off"/>
        </w:trPr>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Esri altlık karoları (World Imagery, World Light Gray)</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Tanıtım sitesindeki vitrin haritasında anahtarsız yedek altlık</w:t>
            </w:r>
          </w:p>
        </w:tc>
        <w:tc>
          <w:tcPr>
            <w:tcW w:type="dxa" w:w="34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Esri Web Site and Service Terms of Use: hizmet kullanımında Esri'ye atıf yapılır (2.2); belirli hizmetlerde ek koşullar ve ticari kullanım için ayrı lisans sözleşmeleri uygulanabilir [K39].</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Sitede Esri atfı bulunmaktadır; anahtarsız kullanımın uygunluğu kontrol edilecektir.</w:t>
            </w:r>
          </w:p>
        </w:tc>
      </w:tr>
      <w:tr>
        <w:trPr>
          <w:cantSplit/>
          <w:tblHeader w:val="off"/>
        </w:trPr>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Apple, Google ve Meta kimlik doğrulama; App Store, Google Play ve Stripe ödeme hizmetleri</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Giriş ve abonelik</w:t>
            </w:r>
          </w:p>
        </w:tc>
        <w:tc>
          <w:tcPr>
            <w:tcW w:type="dxa" w:w="34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Sağlayıcıların geliştirici koşulları bu ekte incelenmemiştir.</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Ek-I'deki veri akışı envanteriyle birlikte kontrol edilecektir.</w:t>
            </w:r>
          </w:p>
        </w:tc>
      </w:tr>
    </w:tbl>
    <w:p>
      <w:pPr>
        <w:spacing w:after="60"/>
      </w:pPr>
    </w:p>
    <w:p>
      <w:pPr>
        <w:spacing w:after="100" w:before="40"/>
      </w:pPr>
      <w:r>
        <w:rPr>
          <w:rFonts w:ascii="Arial" w:cs="Arial" w:eastAsia="Arial" w:hAnsi="Arial"/>
          <w:i/>
          <w:iCs/>
          <w:color w:val="595959"/>
          <w:sz w:val="16"/>
          <w:szCs w:val="16"/>
        </w:rPr>
        <w:t xml:space="preserve">Not: Kullanım bilgileri depo kodundan (motomap/turn_restrictions.py, api/services/traffic.py, api/models/traffic_snapshot.py, motomap/elevation.py, api/services/elevation.py, api/services/graph_cache.py, lib/ui/map_credit.dart, assets/js/showcase.js) okunmuştur [K42]. Koşullar kamuya açık sayfalardan alınmıştır; imzalanacak ticari sözleşmeler farklı hükümler içerebilir.</w:t>
      </w:r>
    </w:p>
    <w:p>
      <w:pPr>
        <w:pStyle w:val="Heading2"/>
        <w:keepNext/>
        <w:spacing w:after="80" w:before="180"/>
      </w:pPr>
      <w:r>
        <w:rPr>
          <w:rFonts w:ascii="Arial" w:cs="Arial" w:eastAsia="Arial" w:hAnsi="Arial"/>
          <w:b/>
          <w:bCs/>
          <w:i w:val="false"/>
          <w:iCs w:val="false"/>
          <w:color w:val="000000"/>
          <w:sz w:val="21"/>
          <w:szCs w:val="21"/>
        </w:rPr>
        <w:t xml:space="preserve">M.5.6 Yükümlülük özeti ve copyleft riskleri</w:t>
      </w:r>
    </w:p>
    <w:p>
      <w:pPr>
        <w:spacing w:after="90"/>
      </w:pPr>
      <w:r>
        <w:rPr>
          <w:rFonts w:ascii="Arial" w:cs="Arial" w:eastAsia="Arial" w:hAnsi="Arial"/>
          <w:sz w:val="18"/>
          <w:szCs w:val="18"/>
        </w:rPr>
        <w:t xml:space="preserve">Doğrudan bağımlılıkların tamamına yakını izin veren lisanslıdır (MIT, BSD, ISC, Apache-2.0). Bu lisansların temel yükümlülüğü, uygulamanın ve web derlemesinin dağıtımında telif bildirimlerinin ve lisans metinlerinin verilmesidir. Bu amaçla mobil uygulamada “Lisanslar” satırı, web derlemesinde NOTICES dosyası kullanılmaktadır [K42, K44]. Yalnız sunucuda çalışan Python paketleri, PostgreSQL, Redis ve GraphHopper kullanıcılara dağıtılmadığından bu bileşenlerde dağıtım yükümlülüğü doğmamaktadır.</w:t>
      </w:r>
    </w:p>
    <w:p>
      <w:pPr>
        <w:spacing w:after="90"/>
      </w:pPr>
      <w:r>
        <w:rPr>
          <w:rFonts w:ascii="Arial" w:cs="Arial" w:eastAsia="Arial" w:hAnsi="Arial"/>
          <w:sz w:val="18"/>
          <w:szCs w:val="18"/>
        </w:rPr>
        <w:t xml:space="preserve">Apache-2.0, NOTICE dosyası bulunan bir çalışmanın dağıtımında NOTICE içeriğinin korunmasını gerektirir. GraphHopper deposunda NOTICE.md bulunmaktadır; dosya, GraphHopper'ın içerdiği LGPL lisanslı OSM-binary gibi bileşenleri listelemektedir [K31]. GraphHopper resmî sürüm dosyasıyla, değiştirilmeden ve yalnız MotoMap sunucusundaki ayrı bir konteynerde çalışmaktadır. İmajın bir müşteriye kurulum için verilmesi hâlinde LICENSE ve NOTICE.md metinleri imajla birlikte verilecektir.</w:t>
      </w:r>
    </w:p>
    <w:p>
      <w:pPr>
        <w:spacing w:after="90"/>
      </w:pPr>
      <w:r>
        <w:rPr>
          <w:rFonts w:ascii="Arial" w:cs="Arial" w:eastAsia="Arial" w:hAnsi="Arial"/>
          <w:sz w:val="18"/>
          <w:szCs w:val="18"/>
        </w:rPr>
        <w:t xml:space="preserve">Python ve Flutter doğrudan bağımlılıklarında ve portalın npm paketlerinde GPL ya da AGPL tespit edilmemiştir. Dosya ya da kütüphane düzeyinde copyleft koşulu taşıyan bileşenler (tqdm ve portal derleme araçlarındaki MPL-2.0 paketleri, isteğe bağlı sharp/libvips ikilisi, GraphHopper içindeki OSM-binary) değiştirilmeden ve sunucu ya da derleme tarafında kullanılmaktadır. Dağıtılan dosyanın tamamını kapsayan copyleft koşulu (AGPL-3.0) yalnız tanıtım sitesindeki Nimbus Roman yazı tipinde bulunmaktadır. Sitenin yazı tipi stil dosyası web kullanımının lisans istisnası kapsamında olduğunu belirtmektedir; lisans dosyasındaki istisna ise yalnız PostScript ve PDF belgelerine gömmeyi kapsamaktadır [K35]. Yazı tipi OFL lisanslı bir serif yazı tipiyle değiştirilecek ya da AGPL-3.0 yükümlülükleri yerine getirilecektir.</w:t>
      </w:r>
    </w:p>
    <w:p>
      <w:pPr>
        <w:spacing w:after="90"/>
      </w:pPr>
      <w:r>
        <w:rPr>
          <w:rFonts w:ascii="Arial" w:cs="Arial" w:eastAsia="Arial" w:hAnsi="Arial"/>
          <w:sz w:val="18"/>
          <w:szCs w:val="18"/>
        </w:rPr>
        <w:t xml:space="preserve">Redis 7.2 ve önceki sürümler BSD-3-Clause, 7.4 sürümü RSALv2/SSPLv1 çift lisanslıdır [K30]. MotoMap Redis'i yalnız kendi hizmetinin önbelleği olarak kullandığından RSALv2'deki yönetilen hizmet kısıtı iş modelini etkilememektedir; sürüm ve lisans seçimi kayda alınacaktır.</w:t>
      </w:r>
    </w:p>
    <w:p>
      <w:pPr>
        <w:spacing w:after="90"/>
      </w:pPr>
      <w:r>
        <w:rPr>
          <w:rFonts w:ascii="Arial" w:cs="Arial" w:eastAsia="Arial" w:hAnsi="Arial"/>
          <w:sz w:val="18"/>
          <w:szCs w:val="18"/>
        </w:rPr>
        <w:t xml:space="preserve">OSM verisinden türetilen yol ağına HERE hızlarının eşlenmesi, ODbL'nin paylaşım koşulunu ve HERE Platform Terms'in 6.4(b) maddesini birlikte ilgilendirmektedir. Rota yanıtları ODbL anlamında üretilmiş çalışmadır ve paylaşım koşuluna tabi değildir (4.5); türev yol ağı veri tabanı üçüncü kişilere verilirse ya da herkese açık kullanılırsa paylaşım koşulu doğabilir [K23]. Kalibrasyon verisinin OSM türevi ağdan ayrı katmanda tutulmasıyla toplu veri tabanı yaklaşımının uygulanabilirliği hukuk danışmanına sorulacaktır (M.7.4).</w:t>
      </w:r>
    </w:p>
    <w:p>
      <w:pPr>
        <w:spacing w:after="90"/>
      </w:pPr>
      <w:r>
        <w:rPr>
          <w:rFonts w:ascii="Arial" w:cs="Arial" w:eastAsia="Arial" w:hAnsi="Arial"/>
          <w:sz w:val="18"/>
          <w:szCs w:val="18"/>
        </w:rPr>
        <w:t xml:space="preserve">Motor deposundaki requirements.txt dosyası yalnız en düşük sürümleri belirttiğinden üretimdeki sürümler ve lisanslar zamanla değişebilir. Bağımlılık sürümleri kilit dosyalarıyla sabitlenecek, sürekli entegrasyonda yazılım malzeme listesi (SBOM) üretilecek ve lisans taraması yapılacaktır.</w:t>
      </w:r>
    </w:p>
    <w:p>
      <w:pPr>
        <w:pStyle w:val="Heading2"/>
        <w:keepNext/>
        <w:spacing w:after="80" w:before="180"/>
      </w:pPr>
      <w:r>
        <w:rPr>
          <w:rFonts w:ascii="Arial" w:cs="Arial" w:eastAsia="Arial" w:hAnsi="Arial"/>
          <w:b/>
          <w:bCs/>
          <w:i w:val="false"/>
          <w:iCs w:val="false"/>
          <w:color w:val="000000"/>
          <w:sz w:val="21"/>
          <w:szCs w:val="21"/>
        </w:rPr>
        <w:t xml:space="preserve">M.5.7 Uyum işlemleri</w:t>
      </w:r>
    </w:p>
    <w:p>
      <w:pPr>
        <w:keepNext/>
        <w:spacing w:after="60" w:before="140"/>
      </w:pPr>
      <w:r>
        <w:rPr>
          <w:rFonts w:ascii="Arial" w:cs="Arial" w:eastAsia="Arial" w:hAnsi="Arial"/>
          <w:b/>
          <w:bCs/>
          <w:sz w:val="18"/>
          <w:szCs w:val="18"/>
        </w:rPr>
        <w:t xml:space="preserve">Tablo M-10. Lisans ve hizmet koşullarına uyum işlemleri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4"/>
        <w:gridCol w:w="4556"/>
        <w:gridCol w:w="1584"/>
        <w:gridCol w:w="1188"/>
        <w:gridCol w:w="1984"/>
      </w:tblGrid>
      <w:tr>
        <w:trPr>
          <w:cantSplit/>
          <w:tblHeader/>
        </w:trPr>
        <w:tc>
          <w:tcPr>
            <w:tcW w:type="dxa" w:w="59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No</w:t>
            </w:r>
          </w:p>
        </w:tc>
        <w:tc>
          <w:tcPr>
            <w:tcW w:type="dxa" w:w="455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İşlem</w:t>
            </w:r>
          </w:p>
        </w:tc>
        <w:tc>
          <w:tcPr>
            <w:tcW w:type="dxa" w:w="15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Dayanak</w:t>
            </w:r>
          </w:p>
        </w:tc>
        <w:tc>
          <w:tcPr>
            <w:tcW w:type="dxa" w:w="118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Sorumlu</w:t>
            </w:r>
          </w:p>
        </w:tc>
        <w:tc>
          <w:tcPr>
            <w:tcW w:type="dxa" w:w="19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Önerilen tarih</w:t>
            </w:r>
          </w:p>
        </w:tc>
      </w:tr>
      <w:tr>
        <w:trPr>
          <w:cantSplit/>
          <w:tblHeader w:val="off"/>
        </w:trPr>
        <w:tc>
          <w:tcPr>
            <w:tcW w:type="dxa" w:w="59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LICENSE dosyalarının “Tüm hakları MotoMap A.Ş.'ye aittir” bildirimiyle değiştirilmesi; README lisans satırlarının güncellenmesi</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M.3.3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CTO</w:t>
            </w:r>
          </w:p>
        </w:tc>
        <w:tc>
          <w:tcPr>
            <w:tcW w:type="dxa" w:w="19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Aralık 2026 (devir günü)</w:t>
            </w:r>
          </w:p>
        </w:tc>
      </w:tr>
      <w:tr>
        <w:trPr>
          <w:cantSplit/>
          <w:tblHeader w:val="off"/>
        </w:trPr>
        <w:tc>
          <w:tcPr>
            <w:tcW w:type="dxa" w:w="59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Kullanım koşullarının 8. ve 9. bölümlerinin güncellenmesi</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[K41]</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CEO</w:t>
            </w:r>
          </w:p>
        </w:tc>
        <w:tc>
          <w:tcPr>
            <w:tcW w:type="dxa" w:w="19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Aralık 2026</w:t>
            </w:r>
          </w:p>
        </w:tc>
      </w:tr>
      <w:tr>
        <w:trPr>
          <w:cantSplit/>
          <w:tblHeader w:val="off"/>
        </w:trPr>
        <w:tc>
          <w:tcPr>
            <w:tcW w:type="dxa" w:w="59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Önceki kopya ve lisans beyanının hazırlanması (Sözleşme Eki 2)</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M.4</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Üç kurucu</w:t>
            </w:r>
          </w:p>
        </w:tc>
        <w:tc>
          <w:tcPr>
            <w:tcW w:type="dxa" w:w="19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Aralık 2026</w:t>
            </w:r>
          </w:p>
        </w:tc>
      </w:tr>
      <w:tr>
        <w:trPr>
          <w:cantSplit/>
          <w:tblHeader w:val="off"/>
        </w:trPr>
        <w:tc>
          <w:tcPr>
            <w:tcW w:type="dxa" w:w="59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Nimbus Roman'ın değiştirilmesi; site yazı tiplerinin OFL metinlerinin depoya eklenmesi; Esri kullanımının kontrolü</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[K35, K37, K39]</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CTO</w:t>
            </w:r>
          </w:p>
        </w:tc>
        <w:tc>
          <w:tcPr>
            <w:tcW w:type="dxa" w:w="19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Aralık 2026</w:t>
            </w:r>
          </w:p>
        </w:tc>
      </w:tr>
      <w:tr>
        <w:trPr>
          <w:cantSplit/>
          <w:tblHeader w:val="off"/>
        </w:trPr>
        <w:tc>
          <w:tcPr>
            <w:tcW w:type="dxa" w:w="59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HERE ticari lisansında saklama, model kullanımı, OSM eşlemesi, rota hizmeti (API) ve atıf hükümlerinin yer alması</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[K25]</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CEO, CTO</w:t>
            </w:r>
          </w:p>
        </w:tc>
        <w:tc>
          <w:tcPr>
            <w:tcW w:type="dxa" w:w="19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1 (Ocak 2027), kalibrasyon verisi toplanmadan önce</w:t>
            </w:r>
          </w:p>
        </w:tc>
      </w:tr>
      <w:tr>
        <w:trPr>
          <w:cantSplit/>
          <w:tblHeader w:val="off"/>
        </w:trPr>
        <w:tc>
          <w:tcPr>
            <w:tcW w:type="dxa" w:w="59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Uygulamaya HERE ve OpenWeather atıflarının eklenmesi</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[K25, K28]</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CTO</w:t>
            </w:r>
          </w:p>
        </w:tc>
        <w:tc>
          <w:tcPr>
            <w:tcW w:type="dxa" w:w="19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 (kapalı beta)</w:t>
            </w:r>
          </w:p>
        </w:tc>
      </w:tr>
      <w:tr>
        <w:trPr>
          <w:cantSplit/>
          <w:tblHeader w:val="off"/>
        </w:trPr>
        <w:tc>
          <w:tcPr>
            <w:tcW w:type="dxa" w:w="59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Elevation içeriğinin önbellekten çıkarılması ya da açık yükseklik modeline geçiş</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[K26]</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CTO</w:t>
            </w:r>
          </w:p>
        </w:tc>
        <w:tc>
          <w:tcPr>
            <w:tcW w:type="dxa" w:w="19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w:t>
            </w:r>
          </w:p>
        </w:tc>
      </w:tr>
      <w:tr>
        <w:trPr>
          <w:cantSplit/>
          <w:tblHeader w:val="off"/>
        </w:trPr>
        <w:tc>
          <w:tcPr>
            <w:tcW w:type="dxa" w:w="59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Overpass kamuya açık sunucusu yerine kendi sunucusu ya da Geofabrik özütü</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[K27]</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CTO</w:t>
            </w:r>
          </w:p>
        </w:tc>
        <w:tc>
          <w:tcPr>
            <w:tcW w:type="dxa" w:w="19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w:t>
            </w:r>
          </w:p>
        </w:tc>
      </w:tr>
      <w:tr>
        <w:trPr>
          <w:cantSplit/>
          <w:tblHeader w:val="off"/>
        </w:trPr>
        <w:tc>
          <w:tcPr>
            <w:tcW w:type="dxa" w:w="59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Bağımlılıkların kilitlenmesi; SBOM ve sürekli entegrasyonda lisans taraması; Redis sürüm kararı</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M.5.6; [K30]</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CTO</w:t>
            </w:r>
          </w:p>
        </w:tc>
        <w:tc>
          <w:tcPr>
            <w:tcW w:type="dxa" w:w="19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w:t>
            </w:r>
          </w:p>
        </w:tc>
      </w:tr>
      <w:tr>
        <w:trPr>
          <w:cantSplit/>
          <w:tblHeader w:val="off"/>
        </w:trPr>
        <w:tc>
          <w:tcPr>
            <w:tcW w:type="dxa" w:w="59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hizmeti (API) sözleşmelerine ve belgelerine OSM atıf hükmü</w:t>
            </w:r>
          </w:p>
        </w:tc>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CEO</w:t>
            </w:r>
          </w:p>
        </w:tc>
        <w:tc>
          <w:tcPr>
            <w:tcW w:type="dxa" w:w="19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B2B/API pilotundan önce (Haziran 2028)</w:t>
            </w:r>
          </w:p>
        </w:tc>
      </w:tr>
    </w:tbl>
    <w:p>
      <w:pPr>
        <w:spacing w:after="60"/>
      </w:pPr>
    </w:p>
    <w:p>
      <w:pPr>
        <w:spacing w:after="100" w:before="40"/>
      </w:pPr>
      <w:r>
        <w:rPr>
          <w:rFonts w:ascii="Arial" w:cs="Arial" w:eastAsia="Arial" w:hAnsi="Arial"/>
          <w:i/>
          <w:iCs/>
          <w:color w:val="595959"/>
          <w:sz w:val="16"/>
          <w:szCs w:val="16"/>
        </w:rPr>
        <w:t xml:space="preserve">Not: Tarihler önerilmektedir ve kurucular tarafından onaylanacaktır. Sorumlular 3.3'teki iş bölümüne göre belirlenmiştir: marka, hukuk ve KVKK süreçlerinin koordinasyonu CEO'da; yazılım ve altyapı CTO'dadır. Kapalı beta ve B2B/API pilotu tarihleri 4.3'ten alınmıştır.</w:t>
      </w:r>
    </w:p>
    <w:p>
      <w:r>
        <w:br w:type="page"/>
      </w:r>
    </w:p>
    <w:p>
      <w:pPr>
        <w:pStyle w:val="Heading1"/>
        <w:keepNext/>
        <w:spacing w:after="100" w:before="260"/>
      </w:pPr>
      <w:r>
        <w:rPr>
          <w:rFonts w:ascii="Arial" w:cs="Arial" w:eastAsia="Arial" w:hAnsi="Arial"/>
          <w:b/>
          <w:bCs/>
          <w:i w:val="false"/>
          <w:iCs w:val="false"/>
          <w:color w:val="000000"/>
          <w:sz w:val="26"/>
          <w:szCs w:val="26"/>
        </w:rPr>
        <w:t xml:space="preserve">M.6 Marka</w:t>
      </w:r>
    </w:p>
    <w:p>
      <w:pPr>
        <w:pStyle w:val="Heading2"/>
        <w:keepNext/>
        <w:spacing w:after="80" w:before="180"/>
      </w:pPr>
      <w:r>
        <w:rPr>
          <w:rFonts w:ascii="Arial" w:cs="Arial" w:eastAsia="Arial" w:hAnsi="Arial"/>
          <w:b/>
          <w:bCs/>
          <w:i w:val="false"/>
          <w:iCs w:val="false"/>
          <w:color w:val="000000"/>
          <w:sz w:val="21"/>
          <w:szCs w:val="21"/>
        </w:rPr>
        <w:t xml:space="preserve">M.6.1 Ön tarama yöntemi ve sonuçları</w:t>
      </w:r>
    </w:p>
    <w:p>
      <w:pPr>
        <w:spacing w:after="90"/>
      </w:pPr>
      <w:r>
        <w:rPr>
          <w:rFonts w:ascii="Arial" w:cs="Arial" w:eastAsia="Arial" w:hAnsi="Arial"/>
          <w:sz w:val="18"/>
          <w:szCs w:val="18"/>
        </w:rPr>
        <w:t xml:space="preserve">Ön tarama 23.09.2026'da kamuya açık marka veri tabanlarında ve uygulama mağazalarında ekip içi olarak yapılmıştır [K9]. Aramanın çalıştığı, her marka veri tabanında bilinen bir markayla yapılan kontrol sorgusuyla doğrulanmıştır. İş planının 2.6 alanı, TÜRKPATENT kayıtlarında “MotoMap” adına rastlanmadığını ve bu sonucun profesyonel marka uygunluk görüşü olmadığını belirtmektedir.</w:t>
      </w:r>
    </w:p>
    <w:p>
      <w:pPr>
        <w:keepNext/>
        <w:spacing w:after="60" w:before="140"/>
      </w:pPr>
      <w:r>
        <w:rPr>
          <w:rFonts w:ascii="Arial" w:cs="Arial" w:eastAsia="Arial" w:hAnsi="Arial"/>
          <w:b/>
          <w:bCs/>
          <w:sz w:val="18"/>
          <w:szCs w:val="18"/>
        </w:rPr>
        <w:t xml:space="preserve">Tablo M-11. Taranan veri tabanları, sorgular ve sonuçlar (23.09.2026)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5"/>
        <w:gridCol w:w="1981"/>
        <w:gridCol w:w="3169"/>
        <w:gridCol w:w="2181"/>
      </w:tblGrid>
      <w:tr>
        <w:trPr>
          <w:cantSplit/>
          <w:tblHeader/>
        </w:trPr>
        <w:tc>
          <w:tcPr>
            <w:tcW w:type="dxa" w:w="257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Veri tabanı</w:t>
            </w:r>
          </w:p>
        </w:tc>
        <w:tc>
          <w:tcPr>
            <w:tcW w:type="dxa" w:w="198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Sorgu</w:t>
            </w:r>
          </w:p>
        </w:tc>
        <w:tc>
          <w:tcPr>
            <w:tcW w:type="dxa" w:w="316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Sonuç</w:t>
            </w:r>
          </w:p>
        </w:tc>
        <w:tc>
          <w:tcPr>
            <w:tcW w:type="dxa" w:w="218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Kontrol sorgusu</w:t>
            </w:r>
          </w:p>
        </w:tc>
      </w:tr>
      <w:tr>
        <w:trPr>
          <w:cantSplit/>
          <w:tblHeader w:val="off"/>
        </w:trPr>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TÜRKPATENT Marka Araştırma [K10]</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içinde geçen, tüm sınıflar</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Sonuç bulunmamıştır</w:t>
            </w:r>
          </w:p>
        </w:tc>
        <w:tc>
          <w:tcPr>
            <w:tcW w:type="dxa" w:w="21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“trendyol”: 195 kayıt</w:t>
            </w:r>
          </w:p>
        </w:tc>
      </w:tr>
      <w:tr>
        <w:trPr>
          <w:cantSplit/>
          <w:tblHeader w:val="off"/>
        </w:trPr>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TÜRKPATENT Marka Araştırma [K10]</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 map”, içinde geçen, tüm sınıflar</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Sonuç bulunmamıştır</w:t>
            </w:r>
          </w:p>
        </w:tc>
        <w:tc>
          <w:tcPr>
            <w:tcW w:type="dxa" w:w="21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veri tabanı</w:t>
            </w:r>
          </w:p>
        </w:tc>
      </w:tr>
      <w:tr>
        <w:trPr>
          <w:cantSplit/>
          <w:tblHeader w:val="off"/>
        </w:trPr>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TMview: Avrupa Birliği Fikri Mülkiyet Ofisi (EUIPO) tarafından işletilen ortak veri tabanı; TÜRKPATENT, EUIPO ve Dünya Fikri Mülkiyet Örgütü (WIPO) kayıtlarını içerir [K11]</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içeren</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 kayıt; hiçbiri TÜRKPATENT, EUIPO ya da WIPO kaydı değildir</w:t>
            </w:r>
          </w:p>
        </w:tc>
        <w:tc>
          <w:tcPr>
            <w:tcW w:type="dxa" w:w="21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“calimoto”: EUIPO 015400476 ve 015400451, WIPO 1412785</w:t>
            </w:r>
          </w:p>
        </w:tc>
      </w:tr>
      <w:tr>
        <w:trPr>
          <w:cantSplit/>
          <w:tblHeader w:val="off"/>
        </w:trPr>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TMview [K11]</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 map” (benzer yazımlar dahil)</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63 kayıt; Türkiye'den yalnız ilgisiz “mapa motors” (2024-096968, sınıf 35)</w:t>
            </w:r>
          </w:p>
        </w:tc>
        <w:tc>
          <w:tcPr>
            <w:tcW w:type="dxa" w:w="21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Kayıt, TÜRKPATENT verisinin TMview'da bulunduğunu göstermektedir</w:t>
            </w:r>
          </w:p>
        </w:tc>
      </w:tr>
      <w:tr>
        <w:trPr>
          <w:cantSplit/>
          <w:tblHeader w:val="off"/>
        </w:trPr>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EUIPO eSearch plus</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“motomap*”</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 sonuç; güvenilir sayılmamıştır</w:t>
            </w:r>
          </w:p>
        </w:tc>
        <w:tc>
          <w:tcPr>
            <w:tcW w:type="dxa" w:w="21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0 sonuç</w:t>
            </w:r>
          </w:p>
        </w:tc>
      </w:tr>
      <w:tr>
        <w:trPr>
          <w:cantSplit/>
          <w:tblHeader w:val="off"/>
        </w:trPr>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App Store (Türkiye, Çekya, Almanya, Birleşik Krallık, ABD) ve Google Play (Türkiye)</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w:t>
            </w:r>
          </w:p>
        </w:tc>
        <w:tc>
          <w:tcPr>
            <w:tcW w:type="dxa" w:w="31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ya da benzer adlı uygulamalar (aşağıda)</w:t>
            </w:r>
          </w:p>
        </w:tc>
        <w:tc>
          <w:tcPr>
            <w:tcW w:type="dxa" w:w="21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Yapılmamıştır</w:t>
            </w:r>
          </w:p>
        </w:tc>
      </w:tr>
    </w:tbl>
    <w:p>
      <w:pPr>
        <w:spacing w:after="60"/>
      </w:pPr>
    </w:p>
    <w:p>
      <w:pPr>
        <w:keepNext/>
        <w:spacing w:after="60" w:before="140"/>
      </w:pPr>
      <w:r>
        <w:rPr>
          <w:rFonts w:ascii="Arial" w:cs="Arial" w:eastAsia="Arial" w:hAnsi="Arial"/>
          <w:b/>
          <w:bCs/>
          <w:sz w:val="18"/>
          <w:szCs w:val="18"/>
        </w:rPr>
        <w:t xml:space="preserve">Tablo M-12. TMview'da “motomap” içeren kayıtlar (23.09.2026)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2377"/>
        <w:gridCol w:w="1188"/>
        <w:gridCol w:w="1188"/>
        <w:gridCol w:w="1287"/>
        <w:gridCol w:w="2282"/>
      </w:tblGrid>
      <w:tr>
        <w:trPr>
          <w:cantSplit/>
          <w:tblHeader/>
        </w:trPr>
        <w:tc>
          <w:tcPr>
            <w:tcW w:type="dxa" w:w="15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Marka</w:t>
            </w:r>
          </w:p>
        </w:tc>
        <w:tc>
          <w:tcPr>
            <w:tcW w:type="dxa" w:w="237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Ofis ve numara</w:t>
            </w:r>
          </w:p>
        </w:tc>
        <w:tc>
          <w:tcPr>
            <w:tcW w:type="dxa" w:w="118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Başvuru tarihi</w:t>
            </w:r>
          </w:p>
        </w:tc>
        <w:tc>
          <w:tcPr>
            <w:tcW w:type="dxa" w:w="118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Sınıflar</w:t>
            </w:r>
          </w:p>
        </w:tc>
        <w:tc>
          <w:tcPr>
            <w:tcW w:type="dxa" w:w="128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Durum</w:t>
            </w:r>
          </w:p>
        </w:tc>
        <w:tc>
          <w:tcPr>
            <w:tcW w:type="dxa" w:w="228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MotoMap için anlamı (ekip değerlendirmesi)</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MotoMap.eu</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Çek Cumhuriyeti Sınai Mülkiyet Ofisi (IPOCZ) 603047</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24.07.2025</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39, 41, 42</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Başvuru</w:t>
            </w:r>
          </w:p>
        </w:tc>
        <w:tc>
          <w:tcPr>
            <w:tcW w:type="dxa" w:w="22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Hizmet alanı aynıdır; Türkiye'de etkisi yoktur; Avrupa Birliği markası başvurusunda itiraz dayanağı olabilir</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Fransa (INPI) 4045793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04.11.2013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28, 41</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Süresi dolmuş</w:t>
            </w:r>
          </w:p>
        </w:tc>
        <w:tc>
          <w:tcPr>
            <w:tcW w:type="dxa" w:w="22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Engel oluşturmaz</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Brezilya (INPI) 906765145</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16.09.2013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42</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Sona ermiş</w:t>
            </w:r>
          </w:p>
        </w:tc>
        <w:tc>
          <w:tcPr>
            <w:tcW w:type="dxa" w:w="22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Engel oluşturmaz</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(tam genişlikli karakterle)</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Japonya (JPO) 2003113175</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19.12.2003</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12, 36, 37, 39, 41</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Süresi dolmuş</w:t>
            </w:r>
          </w:p>
        </w:tc>
        <w:tc>
          <w:tcPr>
            <w:tcW w:type="dxa" w:w="22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Engel oluşturmaz</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MOTOMAPS</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ABD Patent ve Marka Ofisi (USPTO) 98942030</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07.01.2025</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42</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Sona ermiş</w:t>
            </w:r>
          </w:p>
        </w:tc>
        <w:tc>
          <w:tcPr>
            <w:tcW w:type="dxa" w:w="22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Engel oluşturmaz</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MOTOMAPZ</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USPTO 88150607</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11.10.2018</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19</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Sona ermiş</w:t>
            </w:r>
          </w:p>
        </w:tc>
        <w:tc>
          <w:tcPr>
            <w:tcW w:type="dxa" w:w="22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Engel oluşturmaz</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Motomaps</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Birleşik Krallık UK00003304798</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18.04.2018</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Tescilli</w:t>
            </w:r>
          </w:p>
        </w:tc>
        <w:tc>
          <w:tcPr>
            <w:tcW w:type="dxa" w:w="22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Basılı haritalar; yazılım ve navigasyon sınıflarında doğrudan çakışma yoktur</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MOTOMAPKET</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Rusya 2010718012</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03.06.2010</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35</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Sona ermiş</w:t>
            </w:r>
          </w:p>
        </w:tc>
        <w:tc>
          <w:tcPr>
            <w:tcW w:type="dxa" w:w="22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Engel oluşturmaz</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MOTOMAPAS</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Peru (INDECOPI) 000843833-2020</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11.06.2020</w:t>
            </w:r>
          </w:p>
        </w:tc>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41</w:t>
            </w:r>
          </w:p>
        </w:tc>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Başvuru</w:t>
            </w:r>
          </w:p>
        </w:tc>
        <w:tc>
          <w:tcPr>
            <w:tcW w:type="dxa" w:w="22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Ülke ve sınıf farklıdır</w:t>
            </w:r>
          </w:p>
        </w:tc>
      </w:tr>
    </w:tbl>
    <w:p>
      <w:pPr>
        <w:spacing w:after="60"/>
      </w:pPr>
    </w:p>
    <w:p>
      <w:pPr>
        <w:spacing w:after="100" w:before="40"/>
      </w:pPr>
      <w:r>
        <w:rPr>
          <w:rFonts w:ascii="Arial" w:cs="Arial" w:eastAsia="Arial" w:hAnsi="Arial"/>
          <w:i/>
          <w:iCs/>
          <w:color w:val="595959"/>
          <w:sz w:val="16"/>
          <w:szCs w:val="16"/>
        </w:rPr>
        <w:t xml:space="preserve">Not: INPI, Fransa ve Brezilya'nın ulusal sınai mülkiyet enstitüleridir; JPO Japonya Patent Ofisini, INDECOPI Peru'nun rekabet ve fikri mülkiyet kurumunu gösterir. Kayıtlar v15 çalışmasından alınmıştır [K9].</w:t>
      </w:r>
    </w:p>
    <w:p>
      <w:pPr>
        <w:spacing w:after="90"/>
      </w:pPr>
      <w:r>
        <w:rPr>
          <w:rFonts w:ascii="Arial" w:cs="Arial" w:eastAsia="Arial" w:hAnsi="Arial"/>
          <w:sz w:val="18"/>
          <w:szCs w:val="18"/>
        </w:rPr>
        <w:t xml:space="preserve">Tescil dışı kullanımlar (23.09.2026) [K9]:</w:t>
      </w:r>
    </w:p>
    <w:p>
      <w:pPr>
        <w:pStyle w:val="ListParagraph"/>
        <w:numPr>
          <w:ilvl w:val="0"/>
          <w:numId w:val="2"/>
        </w:numPr>
        <w:spacing w:after="50"/>
      </w:pPr>
      <w:r>
        <w:rPr>
          <w:rFonts w:ascii="Arial" w:cs="Arial" w:eastAsia="Arial" w:hAnsi="Arial"/>
          <w:sz w:val="18"/>
          <w:szCs w:val="18"/>
        </w:rPr>
        <w:t xml:space="preserve">“MotoMap” adı, bugün Scenic adıyla yayında olan motosiklet uygulamasının iOS sürümünde 2014 döneminde kullanılmıştır; bu adla tescil kaydı bulunmamıştır.</w:t>
      </w:r>
    </w:p>
    <w:p>
      <w:pPr>
        <w:pStyle w:val="ListParagraph"/>
        <w:numPr>
          <w:ilvl w:val="0"/>
          <w:numId w:val="2"/>
        </w:numPr>
        <w:spacing w:after="50"/>
      </w:pPr>
      <w:r>
        <w:rPr>
          <w:rFonts w:ascii="Arial" w:cs="Arial" w:eastAsia="Arial" w:hAnsi="Arial"/>
          <w:sz w:val="18"/>
          <w:szCs w:val="18"/>
        </w:rPr>
        <w:t xml:space="preserve">App Store'un Çekya ve Almanya vitrinlerinde ve Google Play'de “MotoMap.eu” adlı bir motosiklet uygulaması yayındadır; yayıncı adı Çek marka başvurusunun sahibiyle aynıdır. Uygulama App Store Türkiye aramasında görünmemiştir.</w:t>
      </w:r>
    </w:p>
    <w:p>
      <w:pPr>
        <w:pStyle w:val="ListParagraph"/>
        <w:numPr>
          <w:ilvl w:val="0"/>
          <w:numId w:val="2"/>
        </w:numPr>
        <w:spacing w:after="50"/>
      </w:pPr>
      <w:r>
        <w:rPr>
          <w:rFonts w:ascii="Arial" w:cs="Arial" w:eastAsia="Arial" w:hAnsi="Arial"/>
          <w:sz w:val="18"/>
          <w:szCs w:val="18"/>
        </w:rPr>
        <w:t xml:space="preserve">App Store'da Hindistan merkezli bir şirketin “Motomap: Find Used Cars &amp; Bikes” ve “Motomap Dealer” adlı ikinci el araç ilan uygulamaları listelenmektedir. Hizmet alanı farklıdır; tescilsiz kullanım bakımından marka vekilinin değerlendirmesine sunulacaktır.</w:t>
      </w:r>
    </w:p>
    <w:p>
      <w:pPr>
        <w:pStyle w:val="ListParagraph"/>
        <w:numPr>
          <w:ilvl w:val="0"/>
          <w:numId w:val="2"/>
        </w:numPr>
        <w:spacing w:after="50"/>
      </w:pPr>
      <w:r>
        <w:rPr>
          <w:rFonts w:ascii="Arial" w:cs="Arial" w:eastAsia="Arial" w:hAnsi="Arial"/>
          <w:sz w:val="18"/>
          <w:szCs w:val="18"/>
        </w:rPr>
        <w:t xml:space="preserve">MotoMap'in kendi kullanımı motomap.co alan adı, uygulama ve mağaza görselleridir. Mağaza adı olarak önceki (v15) çalışmada “MotoMap: Motosiklet Navigasyon” önerilmiştir.</w:t>
      </w:r>
    </w:p>
    <w:p>
      <w:pPr>
        <w:pStyle w:val="Heading2"/>
        <w:keepNext/>
        <w:spacing w:after="80" w:before="180"/>
      </w:pPr>
      <w:r>
        <w:rPr>
          <w:rFonts w:ascii="Arial" w:cs="Arial" w:eastAsia="Arial" w:hAnsi="Arial"/>
          <w:b/>
          <w:bCs/>
          <w:i w:val="false"/>
          <w:iCs w:val="false"/>
          <w:color w:val="000000"/>
          <w:sz w:val="21"/>
          <w:szCs w:val="21"/>
        </w:rPr>
        <w:t xml:space="preserve">M.6.2 TÜRKPATENT ön taraması</w:t>
      </w:r>
    </w:p>
    <w:p>
      <w:pPr>
        <w:spacing w:after="90"/>
      </w:pPr>
      <w:r>
        <w:rPr>
          <w:rFonts w:ascii="Arial" w:cs="Arial" w:eastAsia="Arial" w:hAnsi="Arial"/>
          <w:sz w:val="18"/>
          <w:szCs w:val="18"/>
        </w:rPr>
        <w:t xml:space="preserve">TÜRKPATENT Marka Araştırma ve TMview sorguları başvurudan önce tekrarlanacak, sorgu tarihi ve saati kayda alınacaktır.</w:t>
      </w:r>
    </w:p>
    <w:p>
      <w:pPr>
        <w:pStyle w:val="Heading2"/>
        <w:keepNext/>
        <w:spacing w:after="80" w:before="180"/>
      </w:pPr>
      <w:r>
        <w:rPr>
          <w:rFonts w:ascii="Arial" w:cs="Arial" w:eastAsia="Arial" w:hAnsi="Arial"/>
          <w:b/>
          <w:bCs/>
          <w:i w:val="false"/>
          <w:iCs w:val="false"/>
          <w:color w:val="000000"/>
          <w:sz w:val="21"/>
          <w:szCs w:val="21"/>
        </w:rPr>
        <w:t xml:space="preserve">M.6.3 Kelime markası ve logo</w:t>
      </w:r>
    </w:p>
    <w:p>
      <w:pPr>
        <w:spacing w:after="90"/>
      </w:pPr>
      <w:r>
        <w:rPr>
          <w:rFonts w:ascii="Arial" w:cs="Arial" w:eastAsia="Arial" w:hAnsi="Arial"/>
          <w:sz w:val="18"/>
          <w:szCs w:val="18"/>
        </w:rPr>
        <w:t xml:space="preserve">Kelime markası “MotoMap”tır. Logo; harita iğnesi, V biçimli gövde, iki bacak ve iki yana açılan gidon kollarından oluşan, “M” harfini andıran simetrik bir işarettir. Vektör setin açıklama dosyasına göre set, assets/img/logo.png (655 × 471 piksel) raster dosyasından geometrik olarak yeniden çizilmiştir. Özgün raster dosyanın tasarımcısı ve üretim yöntemi kayıtlarda yer almamaktadır. Logo, devir sözleşmesinin kapsamındadır.</w:t>
      </w:r>
    </w:p>
    <w:p>
      <w:pPr>
        <w:keepNext/>
        <w:spacing w:after="60" w:before="140"/>
      </w:pPr>
      <w:r>
        <w:rPr>
          <w:rFonts w:ascii="Arial" w:cs="Arial" w:eastAsia="Arial" w:hAnsi="Arial"/>
          <w:b/>
          <w:bCs/>
          <w:sz w:val="18"/>
          <w:szCs w:val="18"/>
        </w:rPr>
        <w:t xml:space="preserve">Tablo M-13. Logo ve marka dosyaları</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58"/>
        <w:gridCol w:w="5548"/>
      </w:tblGrid>
      <w:tr>
        <w:trPr>
          <w:cantSplit/>
          <w:tblHeader/>
        </w:trPr>
        <w:tc>
          <w:tcPr>
            <w:tcW w:type="dxa" w:w="435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Konum</w:t>
            </w:r>
          </w:p>
        </w:tc>
        <w:tc>
          <w:tcPr>
            <w:tcW w:type="dxa" w:w="554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İçerik</w:t>
            </w:r>
          </w:p>
        </w:tc>
      </w:tr>
      <w:tr>
        <w:trPr>
          <w:cantSplit/>
          <w:tblHeader w:val="off"/>
        </w:trPr>
        <w:tc>
          <w:tcPr>
            <w:tcW w:type="dxa" w:w="43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C:\Users\lenovo\Downloads\Motomap-Logo</w:t>
            </w:r>
          </w:p>
        </w:tc>
        <w:tc>
          <w:tcPr>
            <w:tcW w:type="dxa" w:w="55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Klasör 30.09.2026'da bulunamamıştır</w:t>
            </w:r>
          </w:p>
        </w:tc>
      </w:tr>
      <w:tr>
        <w:trPr>
          <w:cantSplit/>
          <w:tblHeader w:val="off"/>
        </w:trPr>
        <w:tc>
          <w:tcPr>
            <w:tcW w:type="dxa" w:w="43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motomap-website/assets/img/logo.png</w:t>
            </w:r>
          </w:p>
        </w:tc>
        <w:tc>
          <w:tcPr>
            <w:tcW w:type="dxa" w:w="55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Özgün raster logo (655 × 471)</w:t>
            </w:r>
          </w:p>
        </w:tc>
      </w:tr>
      <w:tr>
        <w:trPr>
          <w:cantSplit/>
          <w:tblHeader w:val="off"/>
        </w:trPr>
        <w:tc>
          <w:tcPr>
            <w:tcW w:type="dxa" w:w="43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motomap-website/assets/img/brand/*.svg</w:t>
            </w:r>
          </w:p>
        </w:tc>
        <w:tc>
          <w:tcPr>
            <w:tcW w:type="dxa" w:w="55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 vektör dosya: motomap-mark (ana işaret ve renk türevleri), motomap-icon (kare ikon türevleri), motomap-construction.svg (yapı çizimi)</w:t>
            </w:r>
          </w:p>
        </w:tc>
      </w:tr>
      <w:tr>
        <w:trPr>
          <w:cantSplit/>
          <w:tblHeader w:val="off"/>
        </w:trPr>
        <w:tc>
          <w:tcPr>
            <w:tcW w:type="dxa" w:w="43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motomap-website/assets/img/brand/png/</w:t>
            </w:r>
          </w:p>
        </w:tc>
        <w:tc>
          <w:tcPr>
            <w:tcW w:type="dxa" w:w="55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 raster türev (ikon ve işaret boyutları)</w:t>
            </w:r>
          </w:p>
        </w:tc>
      </w:tr>
      <w:tr>
        <w:trPr>
          <w:cantSplit/>
          <w:tblHeader w:val="off"/>
        </w:trPr>
        <w:tc>
          <w:tcPr>
            <w:tcW w:type="dxa" w:w="43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motomap-website/assets/img/brand/src/</w:t>
            </w:r>
          </w:p>
        </w:tc>
        <w:tc>
          <w:tcPr>
            <w:tcW w:type="dxa" w:w="55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build_mark.py, emit.py, emit_spec.py (işareti parametrelerden üreten kod)</w:t>
            </w:r>
          </w:p>
        </w:tc>
      </w:tr>
      <w:tr>
        <w:trPr>
          <w:cantSplit/>
          <w:tblHeader w:val="off"/>
        </w:trPr>
        <w:tc>
          <w:tcPr>
            <w:tcW w:type="dxa" w:w="43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motomap-website/assets/img/brand/README.md</w:t>
            </w:r>
          </w:p>
        </w:tc>
        <w:tc>
          <w:tcPr>
            <w:tcW w:type="dxa" w:w="55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Yapı ölçüleri, kullanım kuralları ve yeniden çizim kaydı</w:t>
            </w:r>
          </w:p>
        </w:tc>
      </w:tr>
      <w:tr>
        <w:trPr>
          <w:cantSplit/>
          <w:tblHeader w:val="off"/>
        </w:trPr>
        <w:tc>
          <w:tcPr>
            <w:tcW w:type="dxa" w:w="43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motomap-app/assets/brand/</w:t>
            </w:r>
          </w:p>
        </w:tc>
        <w:tc>
          <w:tcPr>
            <w:tcW w:type="dxa" w:w="55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ikonu ve işaret dosyaları (2 PNG, 6 SVG)</w:t>
            </w:r>
          </w:p>
        </w:tc>
      </w:tr>
      <w:tr>
        <w:trPr>
          <w:cantSplit/>
          <w:tblHeader w:val="off"/>
        </w:trPr>
        <w:tc>
          <w:tcPr>
            <w:tcW w:type="dxa" w:w="43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motomap-app-ui/assets/brand/</w:t>
            </w:r>
          </w:p>
        </w:tc>
        <w:tc>
          <w:tcPr>
            <w:tcW w:type="dxa" w:w="55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motomap-app dosyalarının kopyası</w:t>
            </w:r>
          </w:p>
        </w:tc>
      </w:tr>
      <w:tr>
        <w:trPr>
          <w:cantSplit/>
          <w:tblHeader w:val="off"/>
        </w:trPr>
        <w:tc>
          <w:tcPr>
            <w:tcW w:type="dxa" w:w="43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motomap-app/tool/brand/</w:t>
            </w:r>
          </w:p>
        </w:tc>
        <w:tc>
          <w:tcPr>
            <w:tcW w:type="dxa" w:w="55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İkon üretim betikleri (logo.py, cf_logo.py, compose.py, refine.py) ve önceki bir ikon tasarımı (logo.svg: mor degrade zemin üzerinde beyaz glif)</w:t>
            </w:r>
          </w:p>
        </w:tc>
      </w:tr>
      <w:tr>
        <w:trPr>
          <w:cantSplit/>
          <w:tblHeader w:val="off"/>
        </w:trPr>
        <w:tc>
          <w:tcPr>
            <w:tcW w:type="dxa" w:w="43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motomap-deploy/assets/icon.ico</w:t>
            </w:r>
          </w:p>
        </w:tc>
        <w:tc>
          <w:tcPr>
            <w:tcW w:type="dxa" w:w="55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Dağıtım aracının ikonu</w:t>
            </w:r>
          </w:p>
        </w:tc>
      </w:tr>
    </w:tbl>
    <w:p>
      <w:pPr>
        <w:spacing w:after="60"/>
      </w:pPr>
    </w:p>
    <w:p>
      <w:pPr>
        <w:spacing w:after="100" w:before="40"/>
      </w:pPr>
      <w:r>
        <w:rPr>
          <w:rFonts w:ascii="Arial" w:cs="Arial" w:eastAsia="Arial" w:hAnsi="Arial"/>
          <w:i/>
          <w:iCs/>
          <w:color w:val="595959"/>
          <w:sz w:val="16"/>
          <w:szCs w:val="16"/>
        </w:rPr>
        <w:t xml:space="preserve">Not: Depo yolları C:\Users\lenovo\Desktop\motomap-repos\ altındadır. Marka başvurusuna konu olacak logo dosyası kurucular tarafından belirlenecektir. Uygulama deposundaki tool/brand betikleri ikon adaylarını görsel üretim modelleriyle üretmektedir (M.3.3, madde 6).</w:t>
      </w:r>
    </w:p>
    <w:p>
      <w:pPr>
        <w:pStyle w:val="Heading2"/>
        <w:keepNext/>
        <w:spacing w:after="80" w:before="180"/>
      </w:pPr>
      <w:r>
        <w:rPr>
          <w:rFonts w:ascii="Arial" w:cs="Arial" w:eastAsia="Arial" w:hAnsi="Arial"/>
          <w:b/>
          <w:bCs/>
          <w:i w:val="false"/>
          <w:iCs w:val="false"/>
          <w:color w:val="000000"/>
          <w:sz w:val="21"/>
          <w:szCs w:val="21"/>
        </w:rPr>
        <w:t xml:space="preserve">M.6.4 Sınıflar ve önerilen kapsam</w:t>
      </w:r>
    </w:p>
    <w:p>
      <w:pPr>
        <w:spacing w:after="90"/>
      </w:pPr>
      <w:r>
        <w:rPr>
          <w:rFonts w:ascii="Arial" w:cs="Arial" w:eastAsia="Arial" w:hAnsi="Arial"/>
          <w:sz w:val="18"/>
          <w:szCs w:val="18"/>
        </w:rPr>
        <w:t xml:space="preserve">İş planının 2.6 alanı 9, 39 ve 42. sınıflarda başvuru yapılmasını ve “MotoMap” kelime markası ile logo/şekil markasının ayrı ya da birlikte korunmasının marka vekiliyle değerlendirilmesini öngörmektedir.</w:t>
      </w:r>
    </w:p>
    <w:p>
      <w:pPr>
        <w:keepNext/>
        <w:spacing w:after="60" w:before="140"/>
      </w:pPr>
      <w:r>
        <w:rPr>
          <w:rFonts w:ascii="Arial" w:cs="Arial" w:eastAsia="Arial" w:hAnsi="Arial"/>
          <w:b/>
          <w:bCs/>
          <w:sz w:val="18"/>
          <w:szCs w:val="18"/>
        </w:rPr>
        <w:t xml:space="preserve">Tablo M-14. Sınıflar ve önerilen kapsam (taslak)</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5745"/>
        <w:gridCol w:w="3171"/>
      </w:tblGrid>
      <w:tr>
        <w:trPr>
          <w:cantSplit/>
          <w:tblHeader/>
        </w:trPr>
        <w:tc>
          <w:tcPr>
            <w:tcW w:type="dxa" w:w="99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Sınıf</w:t>
            </w:r>
          </w:p>
        </w:tc>
        <w:tc>
          <w:tcPr>
            <w:tcW w:type="dxa" w:w="574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Önerilen kapsam (taslak)</w:t>
            </w:r>
          </w:p>
        </w:tc>
        <w:tc>
          <w:tcPr>
            <w:tcW w:type="dxa" w:w="31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Gerekçe</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İndirilebilir bilgisayar yazılımları ve mobil uygulamalar; navigasyon, rota planlama ve varış süresi hesaplama yazılımları</w:t>
            </w:r>
          </w:p>
        </w:tc>
        <w:tc>
          <w:tcPr>
            <w:tcW w:type="dxa" w:w="3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Sürücü ve kurye uygulaması</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39</w:t>
            </w:r>
          </w:p>
        </w:tc>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Navigasyon hizmetleri; rota ve yol tarifi bilgisi sağlanması; trafik ve ulaşım bilgisi sağlanması</w:t>
            </w:r>
          </w:p>
        </w:tc>
        <w:tc>
          <w:tcPr>
            <w:tcW w:type="dxa" w:w="3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ve süre bilgisi hizmeti</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42</w:t>
            </w:r>
          </w:p>
        </w:tc>
        <w:tc>
          <w:tcPr>
            <w:tcW w:type="dxa" w:w="57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Hizmet olarak yazılım; rota hesaplama, varış süresi kestirimi ve durak sıralaması için indirilemeyen çevrim içi yazılımların geçici kullanımının sağlanması; yazılım tasarımı ve geliştirme</w:t>
            </w:r>
          </w:p>
        </w:tc>
        <w:tc>
          <w:tcPr>
            <w:tcW w:type="dxa" w:w="31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Filo paneli ve rota hizmeti (API)</w:t>
            </w:r>
          </w:p>
        </w:tc>
      </w:tr>
    </w:tbl>
    <w:p>
      <w:pPr>
        <w:spacing w:after="60"/>
      </w:pPr>
    </w:p>
    <w:p>
      <w:pPr>
        <w:spacing w:after="100" w:before="40"/>
      </w:pPr>
      <w:r>
        <w:rPr>
          <w:rFonts w:ascii="Arial" w:cs="Arial" w:eastAsia="Arial" w:hAnsi="Arial"/>
          <w:i/>
          <w:iCs/>
          <w:color w:val="595959"/>
          <w:sz w:val="16"/>
          <w:szCs w:val="16"/>
        </w:rPr>
        <w:t xml:space="preserve">Not: Kapsam v15 marka çalışmasından alınmıştır [K9]; nihai mal ve hizmet listesi TÜRKPATENT sınıflandırma ifadeleriyle marka vekili tarafından yazılacaktır. Önceki (v15) çalışma, reklam planlanmadığı gerekçesiyle 35. sınıfı gerekli görmemiştir. Güncel planda Silver katmanında uygulama içi reklam (2.3) ve topluluk özellikleri (2.1) bulunduğundan 35. ve 38. sınıfların gerekip gerekmediği marka vekiline sorulacaktır.</w:t>
      </w:r>
    </w:p>
    <w:p>
      <w:pPr>
        <w:pStyle w:val="Heading2"/>
        <w:keepNext/>
        <w:spacing w:after="80" w:before="180"/>
      </w:pPr>
      <w:r>
        <w:rPr>
          <w:rFonts w:ascii="Arial" w:cs="Arial" w:eastAsia="Arial" w:hAnsi="Arial"/>
          <w:b/>
          <w:bCs/>
          <w:i w:val="false"/>
          <w:iCs w:val="false"/>
          <w:color w:val="000000"/>
          <w:sz w:val="21"/>
          <w:szCs w:val="21"/>
        </w:rPr>
        <w:t xml:space="preserve">M.6.5 Başvuru sahibi, takvim ve ücretler</w:t>
      </w:r>
    </w:p>
    <w:p>
      <w:pPr>
        <w:pStyle w:val="ListParagraph"/>
        <w:numPr>
          <w:ilvl w:val="0"/>
          <w:numId w:val="2"/>
        </w:numPr>
        <w:spacing w:after="50"/>
      </w:pPr>
      <w:r>
        <w:rPr>
          <w:rFonts w:ascii="Arial" w:cs="Arial" w:eastAsia="Arial" w:hAnsi="Arial"/>
          <w:b/>
          <w:bCs/>
          <w:sz w:val="18"/>
          <w:szCs w:val="18"/>
        </w:rPr>
        <w:t xml:space="preserve">Takvim.</w:t>
      </w:r>
      <w:r>
        <w:rPr>
          <w:rFonts w:ascii="Arial" w:cs="Arial" w:eastAsia="Arial" w:hAnsi="Arial"/>
          <w:sz w:val="18"/>
          <w:szCs w:val="18"/>
        </w:rPr>
        <w:t xml:space="preserve"> İş planının 4.3 tablosuna göre marka başvurusu Aralık 2026'da yapılacak, başarım ölçütü başvuru numarası olacaktır.</w:t>
      </w:r>
    </w:p>
    <w:p>
      <w:pPr>
        <w:pStyle w:val="ListParagraph"/>
        <w:numPr>
          <w:ilvl w:val="0"/>
          <w:numId w:val="2"/>
        </w:numPr>
        <w:spacing w:after="50"/>
      </w:pPr>
      <w:r>
        <w:rPr>
          <w:rFonts w:ascii="Arial" w:cs="Arial" w:eastAsia="Arial" w:hAnsi="Arial"/>
          <w:b/>
          <w:bCs/>
          <w:sz w:val="18"/>
          <w:szCs w:val="18"/>
        </w:rPr>
        <w:t xml:space="preserve">Başvuru sahibi.</w:t>
      </w:r>
      <w:r>
        <w:rPr>
          <w:rFonts w:ascii="Arial" w:cs="Arial" w:eastAsia="Arial" w:hAnsi="Arial"/>
          <w:sz w:val="18"/>
          <w:szCs w:val="18"/>
        </w:rPr>
        <w:t xml:space="preserve"> Şirketin tescili başvurudan önce tamamlanırsa başvuru doğrudan MotoMap A.Ş. adına yapılacaktır. Başvuru bir kurucu adına yapılırsa şirkete devri noter onaylı sözleşmeyle yapılacak ve sicile kaydettirilecektir (SMK m.148/4, 148/5; hükümler başvurulara da uygulanır, m.148/8) [K4].</w:t>
      </w:r>
    </w:p>
    <w:p>
      <w:pPr>
        <w:pStyle w:val="ListParagraph"/>
        <w:numPr>
          <w:ilvl w:val="0"/>
          <w:numId w:val="2"/>
        </w:numPr>
        <w:spacing w:after="50"/>
      </w:pPr>
      <w:r>
        <w:rPr>
          <w:rFonts w:ascii="Arial" w:cs="Arial" w:eastAsia="Arial" w:hAnsi="Arial"/>
          <w:b/>
          <w:bCs/>
          <w:sz w:val="18"/>
          <w:szCs w:val="18"/>
        </w:rPr>
        <w:t xml:space="preserve">Süreç.</w:t>
      </w:r>
      <w:r>
        <w:rPr>
          <w:rFonts w:ascii="Arial" w:cs="Arial" w:eastAsia="Arial" w:hAnsi="Arial"/>
          <w:sz w:val="18"/>
          <w:szCs w:val="18"/>
        </w:rPr>
        <w:t xml:space="preserve"> Üçüncü kişiler, başvurunun Resmî Marka Bülteninde yayımından itibaren iki ay içinde itiraz edebilir (SMK m.18/1); tescilli markanın koruma süresi başvuru tarihinden itibaren on yıldır ve onar yıllık dönemlerle yenilenir (m.23/1) [K4]. Başvurudan sonra bülten benzer başvurular için izlenecektir.</w:t>
      </w:r>
    </w:p>
    <w:p>
      <w:pPr>
        <w:keepNext/>
        <w:spacing w:after="60" w:before="140"/>
      </w:pPr>
      <w:r>
        <w:rPr>
          <w:rFonts w:ascii="Arial" w:cs="Arial" w:eastAsia="Arial" w:hAnsi="Arial"/>
          <w:b/>
          <w:bCs/>
          <w:sz w:val="18"/>
          <w:szCs w:val="18"/>
        </w:rPr>
        <w:t xml:space="preserve">Tablo M-15. TÜRKPATENT 2026 marka ücretleri (TL; KDV ve harç hariç)</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88"/>
        <w:gridCol w:w="3962"/>
        <w:gridCol w:w="2377"/>
        <w:gridCol w:w="2379"/>
      </w:tblGrid>
      <w:tr>
        <w:trPr>
          <w:cantSplit/>
          <w:tblHeader/>
        </w:trPr>
        <w:tc>
          <w:tcPr>
            <w:tcW w:type="dxa" w:w="118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Kod</w:t>
            </w:r>
          </w:p>
        </w:tc>
        <w:tc>
          <w:tcPr>
            <w:tcW w:type="dxa" w:w="396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İşlem</w:t>
            </w:r>
          </w:p>
        </w:tc>
        <w:tc>
          <w:tcPr>
            <w:tcW w:type="dxa" w:w="237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Tebliğ cetveli: e-Devlet üzerinden yapılan talepler</w:t>
            </w:r>
          </w:p>
        </w:tc>
        <w:tc>
          <w:tcPr>
            <w:tcW w:type="dxa" w:w="237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TÜRKPATENT internet sayfası: 2026 işlem ücretleri</w:t>
            </w:r>
          </w:p>
        </w:tc>
      </w:tr>
      <w:tr>
        <w:trPr>
          <w:cantSplit/>
          <w:tblHeader w:val="off"/>
        </w:trPr>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02.01.01</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Tek sınıflı marka başvuru ücreti</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541,33</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2.820,00</w:t>
            </w:r>
          </w:p>
        </w:tc>
      </w:tr>
      <w:tr>
        <w:trPr>
          <w:cantSplit/>
          <w:tblHeader w:val="off"/>
        </w:trPr>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02.01.02</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 sınıf ücreti (2. sınıf)</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541,33</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2.820,00</w:t>
            </w:r>
          </w:p>
        </w:tc>
      </w:tr>
      <w:tr>
        <w:trPr>
          <w:cantSplit/>
          <w:tblHeader w:val="off"/>
        </w:trPr>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02.01.28</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 sınıf ücreti (3. ve sonraki her sınıf)</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816,33</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3.150,00</w:t>
            </w:r>
          </w:p>
        </w:tc>
      </w:tr>
      <w:tr>
        <w:trPr>
          <w:cantSplit/>
          <w:tblHeader w:val="off"/>
        </w:trPr>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02.01.03</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Marka tescil ücreti</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2.027,17</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7.010,00</w:t>
            </w:r>
          </w:p>
        </w:tc>
      </w:tr>
      <w:tr>
        <w:trPr>
          <w:cantSplit/>
          <w:tblHeader w:val="off"/>
        </w:trPr>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Üç sınıflı başvuru ve tescil toplamı</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3.926,16</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15.800,00</w:t>
            </w:r>
          </w:p>
        </w:tc>
      </w:tr>
      <w:tr>
        <w:trPr>
          <w:cantSplit/>
          <w:tblHeader w:val="off"/>
        </w:trPr>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02.01.06</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Devir ya da kısmi devir işlemi kayıt ücreti</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1.470,58</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5.960,00</w:t>
            </w:r>
          </w:p>
        </w:tc>
      </w:tr>
      <w:tr>
        <w:trPr>
          <w:cantSplit/>
          <w:tblHeader w:val="off"/>
        </w:trPr>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02.01.17</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Yayımlanan başvuruya itiraz ücreti</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958,33</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1.150,00</w:t>
            </w:r>
          </w:p>
        </w:tc>
      </w:tr>
      <w:tr>
        <w:trPr>
          <w:cantSplit/>
          <w:tblHeader w:val="off"/>
        </w:trPr>
        <w:tc>
          <w:tcPr>
            <w:tcW w:type="dxa" w:w="118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02.01.19</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Madrid Protokolü uyarınca uluslararası başvurunun WIPO'ya bildirimi</w:t>
            </w:r>
          </w:p>
        </w:tc>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1.399,67</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3.850,00</w:t>
            </w:r>
          </w:p>
        </w:tc>
      </w:tr>
    </w:tbl>
    <w:p>
      <w:pPr>
        <w:spacing w:after="60"/>
      </w:pPr>
    </w:p>
    <w:p>
      <w:pPr>
        <w:spacing w:after="100" w:before="40"/>
      </w:pPr>
      <w:r>
        <w:rPr>
          <w:rFonts w:ascii="Arial" w:cs="Arial" w:eastAsia="Arial" w:hAnsi="Arial"/>
          <w:i/>
          <w:iCs/>
          <w:color w:val="595959"/>
          <w:sz w:val="16"/>
          <w:szCs w:val="16"/>
        </w:rPr>
        <w:t xml:space="preserve">Not: Tebliğin 1. maddesine göre TÜRKPATENT ücretlerine katma değer vergisi (KDV) ve 492 sayılı Harçlar Kanunu'ndaki harçlar dahil değildir [K8]. Tebliğ cetveli e-Devlet üzerinden yapılan taleplerin tutarını göstermektedir; TÜRKPATENT internet sayfası kanal belirtmemektedir [K7]. Başvurunun yapılacağı kanal ve ödenecek tutar marka vekiliyle teyit edilecektir; vekil ücreti ayrıdır. Önceki (v15) çalışmadaki 3.926,16 TL e-Devlet tutarıdır.</w:t>
      </w:r>
    </w:p>
    <w:p>
      <w:pPr>
        <w:pStyle w:val="Heading2"/>
        <w:keepNext/>
        <w:spacing w:after="80" w:before="180"/>
      </w:pPr>
      <w:r>
        <w:rPr>
          <w:rFonts w:ascii="Arial" w:cs="Arial" w:eastAsia="Arial" w:hAnsi="Arial"/>
          <w:b/>
          <w:bCs/>
          <w:i w:val="false"/>
          <w:iCs w:val="false"/>
          <w:color w:val="000000"/>
          <w:sz w:val="21"/>
          <w:szCs w:val="21"/>
        </w:rPr>
        <w:t xml:space="preserve">M.6.6 Başlıca marka riskleri (ekip değerlendirmesi)</w:t>
      </w:r>
    </w:p>
    <w:p>
      <w:pPr>
        <w:pStyle w:val="ListParagraph"/>
        <w:numPr>
          <w:ilvl w:val="0"/>
          <w:numId w:val="2"/>
        </w:numPr>
        <w:spacing w:after="50"/>
      </w:pPr>
      <w:r>
        <w:rPr>
          <w:rFonts w:ascii="Arial" w:cs="Arial" w:eastAsia="Arial" w:hAnsi="Arial"/>
          <w:b/>
          <w:bCs/>
          <w:sz w:val="18"/>
          <w:szCs w:val="18"/>
        </w:rPr>
        <w:t xml:space="preserve">Tanımlayıcılık.</w:t>
      </w:r>
      <w:r>
        <w:rPr>
          <w:rFonts w:ascii="Arial" w:cs="Arial" w:eastAsia="Arial" w:hAnsi="Arial"/>
          <w:sz w:val="18"/>
          <w:szCs w:val="18"/>
        </w:rPr>
        <w:t xml:space="preserve"> “Moto” ve “map” genel sözcüklerdir. Salt kelime markası; ayırt edici niteliği olmayan işaret (SMK m.5/1-b) ya da malların veya hizmetlerin cinsini, amacını ya da diğer özelliklerini belirten işaret (m.5/1-c) olarak değerlendirilebilir [K4]. Önceki (v15) rakip taramasında yer alan ve 2026'da yayımlanan sekiz yerli uygulamanın dördünün adı “Moto” önekiyle başlamaktadır (Motoseyir, MotoAtlas, MotoSocial, MotoRota) [K9]. Logolu başvuru bu riski azaltır, korumanın ağırlığını ise logoya kaydırır.</w:t>
      </w:r>
    </w:p>
    <w:p>
      <w:pPr>
        <w:pStyle w:val="ListParagraph"/>
        <w:numPr>
          <w:ilvl w:val="0"/>
          <w:numId w:val="2"/>
        </w:numPr>
        <w:spacing w:after="50"/>
      </w:pPr>
      <w:r>
        <w:rPr>
          <w:rFonts w:ascii="Arial" w:cs="Arial" w:eastAsia="Arial" w:hAnsi="Arial"/>
          <w:b/>
          <w:bCs/>
          <w:sz w:val="18"/>
          <w:szCs w:val="18"/>
        </w:rPr>
        <w:t xml:space="preserve">Avrupa Birliği.</w:t>
      </w:r>
      <w:r>
        <w:rPr>
          <w:rFonts w:ascii="Arial" w:cs="Arial" w:eastAsia="Arial" w:hAnsi="Arial"/>
          <w:sz w:val="18"/>
          <w:szCs w:val="18"/>
        </w:rPr>
        <w:t xml:space="preserve"> IPOCZ 603047 başvurusu tescil edilirse Çek Cumhuriyeti'nde önceki hak oluşturur ve “MOTOMAP” adlı bir Avrupa Birliği markası başvurusuna itiraz dayanağı olabilir. Yurt dışı kararı Aşama 3 (BİGG+) döneminde vekil görüşüyle verilecektir.</w:t>
      </w:r>
    </w:p>
    <w:p>
      <w:pPr>
        <w:pStyle w:val="ListParagraph"/>
        <w:numPr>
          <w:ilvl w:val="0"/>
          <w:numId w:val="2"/>
        </w:numPr>
        <w:spacing w:after="50"/>
      </w:pPr>
      <w:r>
        <w:rPr>
          <w:rFonts w:ascii="Arial" w:cs="Arial" w:eastAsia="Arial" w:hAnsi="Arial"/>
          <w:b/>
          <w:bCs/>
          <w:sz w:val="18"/>
          <w:szCs w:val="18"/>
        </w:rPr>
        <w:t xml:space="preserve">Başvuru öncesi dönem.</w:t>
      </w:r>
      <w:r>
        <w:rPr>
          <w:rFonts w:ascii="Arial" w:cs="Arial" w:eastAsia="Arial" w:hAnsi="Arial"/>
          <w:sz w:val="18"/>
          <w:szCs w:val="18"/>
        </w:rPr>
        <w:t xml:space="preserve"> Ön tarama 23.09.2026 tarihli olduğundan sonraki başvuruları kapsamamaktadır; tarama başvurudan önce tekrarlanacaktır.</w:t>
      </w:r>
    </w:p>
    <w:p>
      <w:pPr>
        <w:pStyle w:val="ListParagraph"/>
        <w:numPr>
          <w:ilvl w:val="0"/>
          <w:numId w:val="2"/>
        </w:numPr>
        <w:spacing w:after="50"/>
      </w:pPr>
      <w:r>
        <w:rPr>
          <w:rFonts w:ascii="Arial" w:cs="Arial" w:eastAsia="Arial" w:hAnsi="Arial"/>
          <w:b/>
          <w:bCs/>
          <w:sz w:val="18"/>
          <w:szCs w:val="18"/>
        </w:rPr>
        <w:t xml:space="preserve">Mağaza karışıklığı.</w:t>
      </w:r>
      <w:r>
        <w:rPr>
          <w:rFonts w:ascii="Arial" w:cs="Arial" w:eastAsia="Arial" w:hAnsi="Arial"/>
          <w:sz w:val="18"/>
          <w:szCs w:val="18"/>
        </w:rPr>
        <w:t xml:space="preserve"> Aynı ya da benzer adlı uygulamalar mağaza aramasında karışıklık yaratabilir; mağaza adında ayırt edici bir ek kullanılacaktır.</w:t>
      </w:r>
    </w:p>
    <w:p>
      <w:pPr>
        <w:pStyle w:val="Heading1"/>
        <w:keepNext/>
        <w:spacing w:after="100" w:before="260"/>
      </w:pPr>
      <w:r>
        <w:rPr>
          <w:rFonts w:ascii="Arial" w:cs="Arial" w:eastAsia="Arial" w:hAnsi="Arial"/>
          <w:b/>
          <w:bCs/>
          <w:i w:val="false"/>
          <w:iCs w:val="false"/>
          <w:color w:val="000000"/>
          <w:sz w:val="26"/>
          <w:szCs w:val="26"/>
        </w:rPr>
        <w:t xml:space="preserve">M.7 Patent ve faaliyet serbestliği</w:t>
      </w:r>
    </w:p>
    <w:p>
      <w:pPr>
        <w:pStyle w:val="Heading2"/>
        <w:keepNext/>
        <w:spacing w:after="80" w:before="180"/>
      </w:pPr>
      <w:r>
        <w:rPr>
          <w:rFonts w:ascii="Arial" w:cs="Arial" w:eastAsia="Arial" w:hAnsi="Arial"/>
          <w:b/>
          <w:bCs/>
          <w:i w:val="false"/>
          <w:iCs w:val="false"/>
          <w:color w:val="000000"/>
          <w:sz w:val="21"/>
          <w:szCs w:val="21"/>
        </w:rPr>
        <w:t xml:space="preserve">M.7.1 Ön tarama yöntemi</w:t>
      </w:r>
    </w:p>
    <w:p>
      <w:pPr>
        <w:spacing w:after="90"/>
      </w:pPr>
      <w:r>
        <w:rPr>
          <w:rFonts w:ascii="Arial" w:cs="Arial" w:eastAsia="Arial" w:hAnsi="Arial"/>
          <w:sz w:val="18"/>
          <w:szCs w:val="18"/>
        </w:rPr>
        <w:t xml:space="preserve">Ön tarama 23.09.2026'da WIPO Patentscope veri tabanında, USPTO ve EPO yayın sunucularında ekip içi olarak yapılmıştır [K21]. Aranan kavramlar iki tekerlekli rotalama ve varış süresi, genel araç verisinden özel araç süresi, dönüş kısıtlı hiyerarşiler, virajlı rota ve sürüş profilleri ile çok duraklı sıralamadır. Türkçe ve Çince belgeler sınırlı olarak taranmıştır. EP3648077B1'in istemleri tam metinden, 2, 3, 4, 7 ve 8 numaralı belgelerin istemleri ABD yayınlarından okunmuş; 5 ve 6 numaralı belgeler künye ve özetle değerlendirilmiştir. Bu ek için 30.09.2026'da sekiz belgenin başlık, sahip, tarih ve durum bilgileri Google Patents kayıtlarından yeniden doğrulanmıştır [K12–K20].</w:t>
      </w:r>
    </w:p>
    <w:p>
      <w:pPr>
        <w:spacing w:after="90"/>
      </w:pPr>
      <w:r>
        <w:rPr>
          <w:rFonts w:ascii="Arial" w:cs="Arial" w:eastAsia="Arial" w:hAnsi="Arial"/>
          <w:b/>
          <w:bCs/>
          <w:sz w:val="18"/>
          <w:szCs w:val="18"/>
        </w:rPr>
        <w:t xml:space="preserve">Bu çalışma patent vekili görüşü değildir.</w:t>
      </w:r>
      <w:r>
        <w:rPr>
          <w:rFonts w:ascii="Arial" w:cs="Arial" w:eastAsia="Arial" w:hAnsi="Arial"/>
          <w:sz w:val="18"/>
          <w:szCs w:val="18"/>
        </w:rPr>
        <w:t xml:space="preserve"> İstem yorumu, geçerlilik, Türkiye'de yürürlük ve faaliyet serbestliği hükmü patent vekiline aittir. Google Patents'teki durum ve süre bilgileri otomatik tahmindir ve hukuki durum belgesi yerine geçmez.</w:t>
      </w:r>
    </w:p>
    <w:p>
      <w:pPr>
        <w:pStyle w:val="Heading2"/>
        <w:keepNext/>
        <w:spacing w:after="80" w:before="180"/>
      </w:pPr>
      <w:r>
        <w:rPr>
          <w:rFonts w:ascii="Arial" w:cs="Arial" w:eastAsia="Arial" w:hAnsi="Arial"/>
          <w:b/>
          <w:bCs/>
          <w:i w:val="false"/>
          <w:iCs w:val="false"/>
          <w:color w:val="000000"/>
          <w:sz w:val="21"/>
          <w:szCs w:val="21"/>
        </w:rPr>
        <w:t xml:space="preserve">M.7.2 2.5 tablosundaki belgeler ve kaynak sayfaları</w:t>
      </w:r>
    </w:p>
    <w:p>
      <w:pPr>
        <w:keepNext/>
        <w:spacing w:after="60" w:before="140"/>
      </w:pPr>
      <w:r>
        <w:rPr>
          <w:rFonts w:ascii="Arial" w:cs="Arial" w:eastAsia="Arial" w:hAnsi="Arial"/>
          <w:b/>
          <w:bCs/>
          <w:sz w:val="18"/>
          <w:szCs w:val="18"/>
        </w:rPr>
        <w:t xml:space="preserve">Tablo M-16. İş planının 2.5 tablosundaki belgelerin doğrulanması (Google Patents ve USPTO, erişim 30.09.2026)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6"/>
        <w:gridCol w:w="1485"/>
        <w:gridCol w:w="2674"/>
        <w:gridCol w:w="1882"/>
        <w:gridCol w:w="1882"/>
        <w:gridCol w:w="1587"/>
      </w:tblGrid>
      <w:tr>
        <w:trPr>
          <w:cantSplit/>
          <w:tblHeader/>
        </w:trPr>
        <w:tc>
          <w:tcPr>
            <w:tcW w:type="dxa" w:w="39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No</w:t>
            </w:r>
          </w:p>
        </w:tc>
        <w:tc>
          <w:tcPr>
            <w:tcW w:type="dxa" w:w="148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2.5'teki numara</w:t>
            </w:r>
          </w:p>
        </w:tc>
        <w:tc>
          <w:tcPr>
            <w:tcW w:type="dxa" w:w="267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Resmî başlık ve sahip</w:t>
            </w:r>
          </w:p>
        </w:tc>
        <w:tc>
          <w:tcPr>
            <w:tcW w:type="dxa" w:w="188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Tarihler</w:t>
            </w:r>
          </w:p>
        </w:tc>
        <w:tc>
          <w:tcPr>
            <w:tcW w:type="dxa" w:w="188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Durum</w:t>
            </w:r>
          </w:p>
        </w:tc>
        <w:tc>
          <w:tcPr>
            <w:tcW w:type="dxa" w:w="158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 sayfa</w:t>
            </w:r>
          </w:p>
        </w:tc>
      </w:tr>
      <w:tr>
        <w:trPr>
          <w:cantSplit/>
          <w:tblHeader w:val="off"/>
        </w:trPr>
        <w:tc>
          <w:tcPr>
            <w:tcW w:type="dxa" w:w="3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EP19205978.0 / EP3648077B1</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“Method, apparatus, and computer program product for creating traffic information for specialized vehicle types”; HERE Global B.V.</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Rüçhan (öncelik) 01.11.2018; başvuru 29.10.2019; A1 yayını 06.05.2020; verilme 19.03.2025</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Yürürlükte; öngörülen bitiş 29.10.2039; Türkiye'de geçerlilik doğrulanamamıştır</w:t>
            </w:r>
          </w:p>
        </w:tc>
        <w:tc>
          <w:tcPr>
            <w:tcW w:type="dxa" w:w="15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patents.google.com/patent/EP3648077B1/en [K12]</w:t>
            </w:r>
          </w:p>
        </w:tc>
      </w:tr>
      <w:tr>
        <w:trPr>
          <w:cantSplit/>
          <w:tblHeader w:val="off"/>
        </w:trPr>
        <w:tc>
          <w:tcPr>
            <w:tcW w:type="dxa" w:w="3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US14/210,673 / US9964414B2</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“Lane-level vehicle navigation for vehicle routing and traffic management”; Caliper Corp.</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Rüçhan 15.03.2013; başvuru 14.03.2014; verilme 08.05.2018</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Yürürlükte; öngörülen bitiş 14.03.2034</w:t>
            </w:r>
          </w:p>
        </w:tc>
        <w:tc>
          <w:tcPr>
            <w:tcW w:type="dxa" w:w="15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patents.google.com/patent/US9964414B2/en [K14]</w:t>
            </w:r>
          </w:p>
        </w:tc>
      </w:tr>
      <w:tr>
        <w:trPr>
          <w:cantSplit/>
          <w:tblHeader w:val="off"/>
        </w:trPr>
        <w:tc>
          <w:tcPr>
            <w:tcW w:type="dxa" w:w="3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US17/068,598 / US11566909B2</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“Systems and methods for optimal path determination using contraction hierarchies with turn costs”; Verizon Patent and Licensing Inc.</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Başvuru 12.10.2020; verilme 31.01.2023</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Yürürlükte; öngörülen bitiş 24.03.2041</w:t>
            </w:r>
          </w:p>
        </w:tc>
        <w:tc>
          <w:tcPr>
            <w:tcW w:type="dxa" w:w="15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patents.google.com/patent/US11566909B2/en [K15]</w:t>
            </w:r>
          </w:p>
        </w:tc>
      </w:tr>
      <w:tr>
        <w:trPr>
          <w:cantSplit/>
          <w:tblHeader w:val="off"/>
        </w:trPr>
        <w:tc>
          <w:tcPr>
            <w:tcW w:type="dxa" w:w="3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US13/152,313 (US2012/0310523)</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“Customizable route planning”; Microsoft (bugünkü sahip Microsoft Technology Licensing, LLC)</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Başvuru 03.06.2011; yayın 06.12.2012</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Terk edilmiştir (04.08.2015)</w:t>
            </w:r>
          </w:p>
        </w:tc>
        <w:tc>
          <w:tcPr>
            <w:tcW w:type="dxa" w:w="15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patents.google.com/patent/US20120310523A1/en [K16]</w:t>
            </w:r>
          </w:p>
        </w:tc>
      </w:tr>
      <w:tr>
        <w:trPr>
          <w:cantSplit/>
          <w:tblHeader w:val="off"/>
        </w:trPr>
        <w:tc>
          <w:tcPr>
            <w:tcW w:type="dxa" w:w="3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PCT/EP2010/063600</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WO2011/124271A1, “Method of generating a route”; TomTom International B.V.</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Rüçhan 09.04.2010; başvuru 16.09.2010; yayın 13.10.2011</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Uluslararası aşama sona ermiştir. Aile üyeleri: US8855930B2 (yürürlükte, öngörülen bitiş 16.09.2030); EP2556339 (yürürlükte, öngörülen bitiş 16.09.2030; Türkiye'de 24.10.2018'den itibaren düşmüştür)</w:t>
            </w:r>
          </w:p>
        </w:tc>
        <w:tc>
          <w:tcPr>
            <w:tcW w:type="dxa" w:w="15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patents.google.com/patent/WO2011124271A1/en; aile üyeleri: US8855930B2, EP2556339B8 [K17]</w:t>
            </w:r>
          </w:p>
        </w:tc>
      </w:tr>
      <w:tr>
        <w:trPr>
          <w:cantSplit/>
          <w:tblHeader w:val="off"/>
        </w:trPr>
        <w:tc>
          <w:tcPr>
            <w:tcW w:type="dxa" w:w="3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US11/762,716</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US2008/0004797A1, “Method for the automatic, computer-assisted determination of a route travelable by motor vehicles”; Garmin Würzburg GmbH (ilk sahip Navigon AG)</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Rüçhan 29.06.2006; başvuru 13.06.2007; US8224562B2 olarak verilme 17.07.2012</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Yürürlükte; öngörülen bitiş 17.05.2030</w:t>
            </w:r>
          </w:p>
        </w:tc>
        <w:tc>
          <w:tcPr>
            <w:tcW w:type="dxa" w:w="15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patents.google.com/patent/US20080004797A1/en [K18]</w:t>
            </w:r>
          </w:p>
        </w:tc>
      </w:tr>
      <w:tr>
        <w:trPr>
          <w:cantSplit/>
          <w:tblHeader w:val="off"/>
        </w:trPr>
        <w:tc>
          <w:tcPr>
            <w:tcW w:type="dxa" w:w="3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PCT/IB2019/000359</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US2021/0356279A1, “A Method and Apparatus for Optimal Navigation to Multiple Locations”; NNG Software Developing and Commercial LLC (Budapeşte)</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ABD geçici başvuruları 08.07.2018 ve 02.12.2018; PCT başvurusu 08.05.2019; ABD yayını 18.11.2021</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ABD başvurusu (US17/251,789) terk edilmiştir; WO yayın numarası ve diğer ülke girişleri doğrulanmamıştır</w:t>
            </w:r>
          </w:p>
        </w:tc>
        <w:tc>
          <w:tcPr>
            <w:tcW w:type="dxa" w:w="15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USPTO yayın ön sayfası; patents.google.com/patent/US20210356279A1/en [K19]</w:t>
            </w:r>
          </w:p>
        </w:tc>
      </w:tr>
      <w:tr>
        <w:trPr>
          <w:cantSplit/>
          <w:tblHeader w:val="off"/>
        </w:trPr>
        <w:tc>
          <w:tcPr>
            <w:tcW w:type="dxa" w:w="3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US18/311,135</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US2023/0360525A1, “Method and user terminal for operating a motorcycle in a group of motorcycles”; Robert Bosch GmbH</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Rüçhan DE 10 2022 204 372.3 (04.05.2022); başvuru 02.05.2023; yayın 09.11.2023</w:t>
            </w:r>
          </w:p>
        </w:tc>
        <w:tc>
          <w:tcPr>
            <w:tcW w:type="dxa" w:w="18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Başvuru aşamasındadır; verilmiş patent değildir</w:t>
            </w:r>
          </w:p>
        </w:tc>
        <w:tc>
          <w:tcPr>
            <w:tcW w:type="dxa" w:w="15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patents.google.com/patent/US20230360525A1/en [K20]</w:t>
            </w:r>
          </w:p>
        </w:tc>
      </w:tr>
    </w:tbl>
    <w:p>
      <w:pPr>
        <w:spacing w:after="60"/>
      </w:pPr>
    </w:p>
    <w:p>
      <w:pPr>
        <w:spacing w:after="90"/>
      </w:pPr>
      <w:r>
        <w:rPr>
          <w:rFonts w:ascii="Arial" w:cs="Arial" w:eastAsia="Arial" w:hAnsi="Arial"/>
          <w:sz w:val="18"/>
          <w:szCs w:val="18"/>
        </w:rPr>
        <w:t xml:space="preserve">Plan tablosuyla karşılaştırma:</w:t>
      </w:r>
    </w:p>
    <w:p>
      <w:pPr>
        <w:pStyle w:val="ListParagraph"/>
        <w:numPr>
          <w:ilvl w:val="0"/>
          <w:numId w:val="2"/>
        </w:numPr>
        <w:spacing w:after="50"/>
      </w:pPr>
      <w:r>
        <w:rPr>
          <w:rFonts w:ascii="Arial" w:cs="Arial" w:eastAsia="Arial" w:hAnsi="Arial"/>
          <w:sz w:val="18"/>
          <w:szCs w:val="18"/>
        </w:rPr>
        <w:t xml:space="preserve">Sekiz belgenin numaraları kaynak kayıtlarıyla uyumludur. İş planının 2.5 tablosundaki “Buluş Başlığı” sütunu Türkçe açıklayıcı başlıklar kullanmaktadır; resmî başlıklar Tablo M-16'dedir.</w:t>
      </w:r>
    </w:p>
    <w:p>
      <w:pPr>
        <w:pStyle w:val="ListParagraph"/>
        <w:numPr>
          <w:ilvl w:val="0"/>
          <w:numId w:val="2"/>
        </w:numPr>
        <w:spacing w:after="50"/>
      </w:pPr>
      <w:r>
        <w:rPr>
          <w:rFonts w:ascii="Arial" w:cs="Arial" w:eastAsia="Arial" w:hAnsi="Arial"/>
          <w:sz w:val="18"/>
          <w:szCs w:val="18"/>
        </w:rPr>
        <w:t xml:space="preserve">Tablodaki 4 numaralı belge (Microsoft) ve 7 numaralı belgenin ABD ulusal aşaması terk edilmiştir; bu belgeler yürürlükte patent değildir ve tekniğin bilinen durumu olarak değerlendirilmektedir.</w:t>
      </w:r>
    </w:p>
    <w:p>
      <w:pPr>
        <w:pStyle w:val="ListParagraph"/>
        <w:numPr>
          <w:ilvl w:val="0"/>
          <w:numId w:val="2"/>
        </w:numPr>
        <w:spacing w:after="50"/>
      </w:pPr>
      <w:r>
        <w:rPr>
          <w:rFonts w:ascii="Arial" w:cs="Arial" w:eastAsia="Arial" w:hAnsi="Arial"/>
          <w:sz w:val="18"/>
          <w:szCs w:val="18"/>
        </w:rPr>
        <w:t xml:space="preserve">Tablodaki 6 numaralı belge US8224562B2 numarasıyla verilmiştir; 2.5'te yalnız başvuru numarası yer almaktadır. Tablodaki 8 numaralı belge başvuru aşamasındadır.</w:t>
      </w:r>
    </w:p>
    <w:p>
      <w:pPr>
        <w:pStyle w:val="ListParagraph"/>
        <w:numPr>
          <w:ilvl w:val="0"/>
          <w:numId w:val="2"/>
        </w:numPr>
        <w:spacing w:after="50"/>
      </w:pPr>
      <w:r>
        <w:rPr>
          <w:rFonts w:ascii="Arial" w:cs="Arial" w:eastAsia="Arial" w:hAnsi="Arial"/>
          <w:sz w:val="18"/>
          <w:szCs w:val="18"/>
        </w:rPr>
        <w:t xml:space="preserve">EP3648077B1 ile aynı aileden ABD patenti US10962381B2 (US16/177,895; verilme 30.03.2021; yürürlükte, öngörülen bitiş 24.01.2039) 2.5 tablosunda yer almamaktadır [K13].</w:t>
      </w:r>
    </w:p>
    <w:p>
      <w:pPr>
        <w:pStyle w:val="ListParagraph"/>
        <w:numPr>
          <w:ilvl w:val="0"/>
          <w:numId w:val="2"/>
        </w:numPr>
        <w:spacing w:after="50"/>
      </w:pPr>
      <w:r>
        <w:rPr>
          <w:rFonts w:ascii="Arial" w:cs="Arial" w:eastAsia="Arial" w:hAnsi="Arial"/>
          <w:sz w:val="18"/>
          <w:szCs w:val="18"/>
        </w:rPr>
        <w:t xml:space="preserve">Patent koruması ülkeseldir. Ön değerlendirmeye göre ABD patentleri ABD pazarına giriş kararında önem taşımaktadır; Türkiye'deki faaliyet bakımından öncelikli belge, Türkiye'de geçerli olması hâlinde EP3648077B1'dir. TomTom'un EP2556339 patenti Türkiye'de düşmüştür.</w:t>
      </w:r>
    </w:p>
    <w:p>
      <w:pPr>
        <w:pStyle w:val="Heading2"/>
        <w:keepNext/>
        <w:spacing w:after="80" w:before="180"/>
      </w:pPr>
      <w:r>
        <w:rPr>
          <w:rFonts w:ascii="Arial" w:cs="Arial" w:eastAsia="Arial" w:hAnsi="Arial"/>
          <w:b/>
          <w:bCs/>
          <w:i w:val="false"/>
          <w:iCs w:val="false"/>
          <w:color w:val="000000"/>
          <w:sz w:val="21"/>
          <w:szCs w:val="21"/>
        </w:rPr>
        <w:t xml:space="preserve">M.7.3 EP3648077B1 istem karşılaştırması özeti</w:t>
      </w:r>
    </w:p>
    <w:p>
      <w:pPr>
        <w:spacing w:after="90"/>
      </w:pPr>
      <w:r>
        <w:rPr>
          <w:rFonts w:ascii="Arial" w:cs="Arial" w:eastAsia="Arial" w:hAnsi="Arial"/>
          <w:sz w:val="18"/>
          <w:szCs w:val="18"/>
        </w:rPr>
        <w:t xml:space="preserve">Google Patents kaydındaki özete göre 1. istem; planlanan rota üzerindeki genel araç tipine ait temel sürüş verisinin alınmasını, özel araç tipine özgü bir ayar etkeninin belirlenmesini, temel veri ile ayarın birleştirilmesiyle özel sürüş bilgisinin üretilmesini ve bu bilginin özel araç kullanıcısına sağlanmasını kapsamaktadır [K12]. Aşağıdaki eşleştirme 23.09.2026 tarihli ekip içi teknik değerlendirmedir [K21]; istem yorumu patent vekiline aittir.</w:t>
      </w:r>
    </w:p>
    <w:p>
      <w:pPr>
        <w:keepNext/>
        <w:spacing w:after="60" w:before="140"/>
      </w:pPr>
      <w:r>
        <w:rPr>
          <w:rFonts w:ascii="Arial" w:cs="Arial" w:eastAsia="Arial" w:hAnsi="Arial"/>
          <w:b/>
          <w:bCs/>
          <w:sz w:val="18"/>
          <w:szCs w:val="18"/>
        </w:rPr>
        <w:t xml:space="preserve">Tablo M-17. EP3648077B1 istemleri ve MotoMap özellikleri (ekip içi eşleştirme)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2"/>
        <w:gridCol w:w="4160"/>
        <w:gridCol w:w="4954"/>
      </w:tblGrid>
      <w:tr>
        <w:trPr>
          <w:cantSplit/>
          <w:tblHeader/>
        </w:trPr>
        <w:tc>
          <w:tcPr>
            <w:tcW w:type="dxa" w:w="79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İstem</w:t>
            </w:r>
          </w:p>
        </w:tc>
        <w:tc>
          <w:tcPr>
            <w:tcW w:type="dxa" w:w="41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İstem unsuru (özet)</w:t>
            </w:r>
          </w:p>
        </w:tc>
        <w:tc>
          <w:tcPr>
            <w:tcW w:type="dxa" w:w="495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MotoMap'te ilgili özellik</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Genel araç tipinin sürüş bilgisine özel araç tipi (moped, scooter vb.) için ayar uygulanması ve özel sürüş bilgisinin sağlanması</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Canlı otomobil hızına motosiklete özgü hız farkı ekleyen süre katmanı</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Ayarın özel tip araçların referans yolculuklarına dayanması</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Hız farkının kullanıcı onayıyla toplanacak sürüşlerden yol sınıfı ve sıkışıklık hücreleri bazında kestirilmesi (motomap/delta_estimator.py)</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Trafik akışıyla ilişkili performans etkeni</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Sıkışıklıkla değişen fark</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Hız sınırı, manevra, olay, günün saati, hava, yol tipi, yüzey ya da şerit sayısı</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Şerit sayısı, yol sınıfı, hava ve gece etkisi</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Referans yolculuklarla eğitilmiş makine öğrenmesi</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İstatistiksel kestirici (ampirik Bayes büzülmesi); v15'te B planı olarak öğrenilen hata düzeltmesi</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Bağlantı (yol parçası) düzeyinde ayar</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Yol parçası düzeyinde uygulanan fark</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Varış süresi, tahmini hız ya da alternatif rota</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Varış süresi ve rota seçimi</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Referans kümesinin gerçek sürüşlerle güncellenmesi</w:t>
            </w:r>
          </w:p>
        </w:tc>
        <w:tc>
          <w:tcPr>
            <w:tcW w:type="dxa" w:w="49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Sürekli kalibrasyon</w:t>
            </w:r>
          </w:p>
        </w:tc>
      </w:tr>
    </w:tbl>
    <w:p>
      <w:pPr>
        <w:spacing w:after="60"/>
      </w:pPr>
    </w:p>
    <w:p>
      <w:pPr>
        <w:spacing w:after="90"/>
      </w:pPr>
      <w:r>
        <w:rPr>
          <w:rFonts w:ascii="Arial" w:cs="Arial" w:eastAsia="Arial" w:hAnsi="Arial"/>
          <w:sz w:val="18"/>
          <w:szCs w:val="18"/>
        </w:rPr>
        <w:t xml:space="preserve">Önceki (v15) değerlendirmeye göre istemlerde yer almayan MotoMap özellikleri şunlardır: fark serbest akışta sıfırdır ve sıkışıklıkla sıçramasız büyür; iki güvenlik üst sınırı ve veri güveni koşulu uygulanır; fark planlanmış tek bir rotayla sınırlı kalmaz, rota aramasından önce ağın tüm yol parçalarına uygulanır ve seçilen rotayı değiştirir; yasak dönüşler yol hiyerarşisinde yapısal olarak dışlanır [K21]. Bu farkların istem kapsamı dışında kalmaya yetip yetmediği vekile yöneltilecek temel sorudur (Tablo M-18).</w:t>
      </w:r>
    </w:p>
    <w:p>
      <w:pPr>
        <w:pStyle w:val="Heading2"/>
        <w:keepNext/>
        <w:spacing w:after="80" w:before="180"/>
      </w:pPr>
      <w:r>
        <w:rPr>
          <w:rFonts w:ascii="Arial" w:cs="Arial" w:eastAsia="Arial" w:hAnsi="Arial"/>
          <w:b/>
          <w:bCs/>
          <w:i w:val="false"/>
          <w:iCs w:val="false"/>
          <w:color w:val="000000"/>
          <w:sz w:val="21"/>
          <w:szCs w:val="21"/>
        </w:rPr>
        <w:t xml:space="preserve">M.7.4 Profesyonel faaliyet serbestliği görüşünün kapsamı</w:t>
      </w:r>
    </w:p>
    <w:p>
      <w:pPr>
        <w:spacing w:after="90"/>
      </w:pPr>
      <w:r>
        <w:rPr>
          <w:rFonts w:ascii="Arial" w:cs="Arial" w:eastAsia="Arial" w:hAnsi="Arial"/>
          <w:sz w:val="18"/>
          <w:szCs w:val="18"/>
        </w:rPr>
        <w:t xml:space="preserve">İş planına göre patent vekilinden faaliyet serbestliği (FTO) görüşü Ay 1–3'te (Ocak–Mart 2027) alınacaktır (1.7, 2.6, 5.1). Görüş olumsuzsa riskli yöntemler patent istemleri dışında kalan alternatif teknik tasarımlarla değiştirilecek, gerektiğinde lisanslama değerlendirilecek ya da ilgili özellik ürün kapsamından çıkarılacaktır (2.6). Marka vekilinin benzerlik ve ayırt edicilik görüşünün başvurudan önce, Aralık 2026'da alınması planlanmaktadır. Patent/marka vekili ile hukuk danışmanının görevleri 3.4'te tanımlanmıştır.</w:t>
      </w:r>
    </w:p>
    <w:p>
      <w:pPr>
        <w:keepNext/>
        <w:spacing w:after="60" w:before="140"/>
      </w:pPr>
      <w:r>
        <w:rPr>
          <w:rFonts w:ascii="Arial" w:cs="Arial" w:eastAsia="Arial" w:hAnsi="Arial"/>
          <w:b/>
          <w:bCs/>
          <w:sz w:val="18"/>
          <w:szCs w:val="18"/>
        </w:rPr>
        <w:t xml:space="preserve">Tablo M-18. Vekil ve danışmana iletilecek sorular, beklenen çıktılar ve takvim</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4556"/>
        <w:gridCol w:w="2179"/>
        <w:gridCol w:w="1587"/>
      </w:tblGrid>
      <w:tr>
        <w:trPr>
          <w:cantSplit/>
          <w:tblHeader/>
        </w:trPr>
        <w:tc>
          <w:tcPr>
            <w:tcW w:type="dxa" w:w="15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Konu</w:t>
            </w:r>
          </w:p>
        </w:tc>
        <w:tc>
          <w:tcPr>
            <w:tcW w:type="dxa" w:w="455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Soru</w:t>
            </w:r>
          </w:p>
        </w:tc>
        <w:tc>
          <w:tcPr>
            <w:tcW w:type="dxa" w:w="217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Beklenen çıktı</w:t>
            </w:r>
          </w:p>
        </w:tc>
        <w:tc>
          <w:tcPr>
            <w:tcW w:type="dxa" w:w="158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Zaman</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EP3648077B1'in Türkiye durumu</w:t>
            </w:r>
          </w:p>
        </w:tc>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Türkçe çevirinin yayımlanıp yayımlanmadığı (Türkiye'de geçerlilik); yıllık ücretlerin durumu; itiraz ya da sınırlama işlemi</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Hukuki durum yazısı</w:t>
            </w:r>
          </w:p>
        </w:tc>
        <w:tc>
          <w:tcPr>
            <w:tcW w:type="dxa" w:w="15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1</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EP3648077B1 istem analizi</w:t>
            </w:r>
          </w:p>
        </w:tc>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M.7.3'teki özelliklerin 1–8. istemler ve bağımsız aygıt ve program istemleriyle karşılaştırılması; “planlanan rota” unsurunun yorumu</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İstem tablosu ve tecavüz riski değerlendirmesi</w:t>
            </w:r>
          </w:p>
        </w:tc>
        <w:tc>
          <w:tcPr>
            <w:tcW w:type="dxa" w:w="15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2–3</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Geçerlilik</w:t>
            </w:r>
          </w:p>
        </w:tc>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01.11.2018 öncesi yayın ve ürünlerin hükümsüzlük bakımından değeri; örnek: 05.12.2017'de Hindistan'da kullanıma açılan Google Haritalar iki tekerlekli modu [K22]</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Tekniğin bilinen durumu notu</w:t>
            </w:r>
          </w:p>
        </w:tc>
        <w:tc>
          <w:tcPr>
            <w:tcW w:type="dxa" w:w="15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2–3</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Tasarım ve lisans seçenekleri</w:t>
            </w:r>
          </w:p>
        </w:tc>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İstem dışında kalan alternatif tasarımlar; HERE ile yapılacak trafik lisansına patent lisansı ya da dava etmeme taahhüdünün eklenmesi</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Tasarım değişikliği önerisi; lisans seçenekleri</w:t>
            </w:r>
          </w:p>
        </w:tc>
        <w:tc>
          <w:tcPr>
            <w:tcW w:type="dxa" w:w="15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3</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Diğer aileler</w:t>
            </w:r>
          </w:p>
        </w:tc>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Caliper, Verizon, Microsoft, TomTom, Garmin, NNG ve Bosch belgelerinin Türkiye ve Avrupa'daki aile üyeleri; EP2556339'un İtalya ve İspanya'daki durumu</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Aile ve durum tablosu</w:t>
            </w:r>
          </w:p>
        </w:tc>
        <w:tc>
          <w:tcPr>
            <w:tcW w:type="dxa" w:w="15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3; yurt dışı kararından önce güncelleme</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Güncel tarama</w:t>
            </w:r>
          </w:p>
        </w:tc>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23.09.2026'dan sonra yayımlanan belgeler; TÜRKPATENT'teki Türkçe belgeler</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Güncellenmiş tarama raporu</w:t>
            </w:r>
          </w:p>
        </w:tc>
        <w:tc>
          <w:tcPr>
            <w:tcW w:type="dxa" w:w="15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1–3</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Patentlenebilirlik</w:t>
            </w:r>
          </w:p>
        </w:tc>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çıktılarının patentlenebilirliği; bilgisayar programlarının kendisinin buluş sayılmaması (SMK m.82/2-c); sunum ve yayınların yenilik etkisi</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Ön değerlendirme; yayın politikası</w:t>
            </w:r>
          </w:p>
        </w:tc>
        <w:tc>
          <w:tcPr>
            <w:tcW w:type="dxa" w:w="15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3; kamuya açıklamadan önce</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 ve açık kaynak lisansları (hukuk danışmanı)</w:t>
            </w:r>
          </w:p>
        </w:tc>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ODbL paylaşım koşulunun HERE verisiyle birlikte uygulanması ve toplu veri tabanı yaklaşımı; HERE Platform Terms 6.4(b), (f), (g), (j); Google Elevation API politikası; Nimbus Roman</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Lisans uyum notu</w:t>
            </w:r>
          </w:p>
        </w:tc>
        <w:tc>
          <w:tcPr>
            <w:tcW w:type="dxa" w:w="15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1–3; soft launch (Haziran 2027) öncesi</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Devir sözleşmesi (hukuk/IP vekili)</w:t>
            </w:r>
          </w:p>
        </w:tc>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M.4.3'teki notlar; MIT lisans dosyalarının verilmiş kopyalara etkisi</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Nihai sözleşme metni</w:t>
            </w:r>
          </w:p>
        </w:tc>
        <w:tc>
          <w:tcPr>
            <w:tcW w:type="dxa" w:w="15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Aralık 2026</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Marka (marka vekili)</w:t>
            </w:r>
          </w:p>
        </w:tc>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Benzerlik araştırması ve ayırt edicilik görüşü; kelime ve şekil markalarının ayrı ya da birlikte başvurusu; 35. ve 38. sınıf gerekliliği; aynı adlı mağaza uygulamaları; IPOCZ 603047</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Başvuru öncesi görüş; başvuru numarası</w:t>
            </w:r>
          </w:p>
        </w:tc>
        <w:tc>
          <w:tcPr>
            <w:tcW w:type="dxa" w:w="15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Aralık 2026</w:t>
            </w:r>
          </w:p>
        </w:tc>
      </w:tr>
      <w:tr>
        <w:trPr>
          <w:cantSplit/>
          <w:tblHeader w:val="off"/>
        </w:trPr>
        <w:tc>
          <w:tcPr>
            <w:tcW w:type="dxa" w:w="15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Yapay zekâ destekli üretim</w:t>
            </w:r>
          </w:p>
        </w:tc>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Araç destekli kod ve görsellerde eser sahipliği; araç sağlayıcılarının kullanım koşulları</w:t>
            </w:r>
          </w:p>
        </w:tc>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Görüş notu</w:t>
            </w:r>
          </w:p>
        </w:tc>
        <w:tc>
          <w:tcPr>
            <w:tcW w:type="dxa" w:w="15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Aralık 2026 (devirden önce)</w:t>
            </w:r>
          </w:p>
        </w:tc>
      </w:tr>
    </w:tbl>
    <w:p>
      <w:pPr>
        <w:spacing w:after="60"/>
      </w:pPr>
    </w:p>
    <w:p>
      <w:pPr>
        <w:spacing w:after="100" w:before="40"/>
      </w:pPr>
      <w:r>
        <w:rPr>
          <w:rFonts w:ascii="Arial" w:cs="Arial" w:eastAsia="Arial" w:hAnsi="Arial"/>
          <w:i/>
          <w:iCs/>
          <w:color w:val="595959"/>
          <w:sz w:val="16"/>
          <w:szCs w:val="16"/>
        </w:rPr>
        <w:t xml:space="preserve">Not: Google Haritalar iki tekerlekli modunun yayın tarihi The Next Web haberinden alınmıştır [K22]; hükümsüzlük bakımından değeri vekil tarafından değerlendirilecektir.</w:t>
      </w:r>
    </w:p>
    <w:p>
      <w:pPr>
        <w:pStyle w:val="Heading2"/>
        <w:keepNext/>
        <w:spacing w:after="80" w:before="180"/>
      </w:pPr>
      <w:r>
        <w:rPr>
          <w:rFonts w:ascii="Arial" w:cs="Arial" w:eastAsia="Arial" w:hAnsi="Arial"/>
          <w:b/>
          <w:bCs/>
          <w:i w:val="false"/>
          <w:iCs w:val="false"/>
          <w:color w:val="000000"/>
          <w:sz w:val="21"/>
          <w:szCs w:val="21"/>
        </w:rPr>
        <w:t xml:space="preserve">M.7.5 Yayın ve patentlenebilirlik politikası</w:t>
      </w:r>
    </w:p>
    <w:p>
      <w:pPr>
        <w:spacing w:after="90"/>
      </w:pPr>
      <w:r>
        <w:rPr>
          <w:rFonts w:ascii="Arial" w:cs="Arial" w:eastAsia="Arial" w:hAnsi="Arial"/>
          <w:sz w:val="18"/>
          <w:szCs w:val="18"/>
        </w:rPr>
        <w:t xml:space="preserve">İş planının 2.6 alanına göre patentlenebilir bir teknik çıktı oluşursa kamuya açıklanmadan önce patent vekiliyle patentlenebilirlik değerlendirmesi yapılacaktır. SMK keşifleri, bilimsel teorileri, matematiksel yöntemleri ve bilgisayar programlarını buluş saymamakta, bu hükmü yalnız bu konuların kendisiyle sınırlamaktadır (m.82/2) [K4]. Önceki (v15) değerlendirmeye göre olası bir istem bu nedenle ölçümden fiziksel durum kestirimi gibi teknik bir etkiye dayandırılacaktır [K21]. Teknik rapor, algoritma el kitabı ve kod tanıtım belgeleri özel depolarda tutulmaktadır; değerlendirme tamamlanmadan algoritma ayrıntısı yayımlanmayacaktır.</w:t>
      </w:r>
    </w:p>
    <w:p>
      <w:pPr>
        <w:pStyle w:val="Heading1"/>
        <w:keepNext/>
        <w:spacing w:after="100" w:before="260"/>
      </w:pPr>
      <w:r>
        <w:rPr>
          <w:rFonts w:ascii="Arial" w:cs="Arial" w:eastAsia="Arial" w:hAnsi="Arial"/>
          <w:b/>
          <w:bCs/>
          <w:i w:val="false"/>
          <w:iCs w:val="false"/>
          <w:color w:val="000000"/>
          <w:sz w:val="26"/>
          <w:szCs w:val="26"/>
        </w:rPr>
        <w:t xml:space="preserve">M.8 Ticari sır koruma önlemleri</w:t>
      </w:r>
    </w:p>
    <w:p>
      <w:pPr>
        <w:spacing w:after="90"/>
      </w:pPr>
      <w:r>
        <w:rPr>
          <w:rFonts w:ascii="Arial" w:cs="Arial" w:eastAsia="Arial" w:hAnsi="Arial"/>
          <w:sz w:val="18"/>
          <w:szCs w:val="18"/>
        </w:rPr>
        <w:t xml:space="preserve">İş planının 2.6 alanına göre kaynak kodu ve özgün yazılım bileşenleri telif hakkıyla; kalibrasyon parametreleri, motosiklet hız farkı modeli, bölgesel yol ağı işleme yöntemleri ve ticari olarak açıklanmaması gereken teknik bilgiler erişim kontrolü ve gizlilik yükümlülükleriyle ticari sır olarak korunacaktır. Üretim ve iş sırlarının hukuka aykırı ifşası haksız rekabettir (TTK md. 55/1-d). İşçi, iş gördüğü sırada öğrendiği üretim ve iş sırlarını hizmet ilişkisi süresince kendi yararına kullanamaz ve açıklayamaz; işverenin haklı menfaati gerektiriyorsa ilişki sona erdikten sonra da sır saklar (TBK md. 396) [K5, K6].</w:t>
      </w:r>
    </w:p>
    <w:p>
      <w:pPr>
        <w:keepNext/>
        <w:spacing w:after="60" w:before="140"/>
      </w:pPr>
      <w:r>
        <w:rPr>
          <w:rFonts w:ascii="Arial" w:cs="Arial" w:eastAsia="Arial" w:hAnsi="Arial"/>
          <w:b/>
          <w:bCs/>
          <w:sz w:val="18"/>
          <w:szCs w:val="18"/>
        </w:rPr>
        <w:t xml:space="preserve">Tablo M-19. Ticari sır kaydı (taslak)</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7"/>
        <w:gridCol w:w="2575"/>
        <w:gridCol w:w="2575"/>
        <w:gridCol w:w="2379"/>
      </w:tblGrid>
      <w:tr>
        <w:trPr>
          <w:cantSplit/>
          <w:tblHeader/>
        </w:trPr>
        <w:tc>
          <w:tcPr>
            <w:tcW w:type="dxa" w:w="237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Bilgi</w:t>
            </w:r>
          </w:p>
        </w:tc>
        <w:tc>
          <w:tcPr>
            <w:tcW w:type="dxa" w:w="257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Konum</w:t>
            </w:r>
          </w:p>
        </w:tc>
        <w:tc>
          <w:tcPr>
            <w:tcW w:type="dxa" w:w="257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Mevcut önlem (30.09.2026)</w:t>
            </w:r>
          </w:p>
        </w:tc>
        <w:tc>
          <w:tcPr>
            <w:tcW w:type="dxa" w:w="237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Planlanan önlem</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Kalibrasyon ve yol maliyeti parametreleri (sürüş modu cezaları, viraj eşikleri)</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motomap-engine: motomap/config.py; graphhopper/custom_models/</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Özel depo; yazma yetkisi tek yöneticide; rota mantığının istemciye açılmaması kuralı</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Erişim listesi; en az iki yetkili kurucu; gizlilik sözleşmeleri</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Motosiklet hız farkı modeli ve hücre kestirimleri</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motomap/delta_estimator.py; veritabanı (ride_telemetry_points, traffic_snapshots)</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Özel depo; API yalnız sonuç döndürür</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 erişim kayıtları; HERE lisansına uyum</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Bölgesel yol ağı işleme yöntemleri ve işlenmiş ağlar</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(veri temizleme, OSM doğrulama, kenar genişletilmiş graf, şerit çıkarımı, viraj riski); sunucudaki graf önbelleği</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Özel depo; ağlar sunucuda tutulur</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ODbL yükümlülükleriyle uyumlu katman ayrımı</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Teknik rapor, el kitabı, doğruluk protokolü</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motomap-engine/docs</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Özel depo</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“Gizli” ibaresi; paylaşım kaydı</w:t>
            </w:r>
          </w:p>
        </w:tc>
      </w:tr>
      <w:tr>
        <w:trPr>
          <w:cantSplit/>
          <w:tblHeader w:val="off"/>
        </w:trPr>
        <w:tc>
          <w:tcPr>
            <w:tcW w:type="dxa" w:w="23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Müşteri, pilot ve fiyatlama bilgileri</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Kurucuların çalışma dosyaları</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Kurucularla sınırlı erişim</w:t>
            </w:r>
          </w:p>
        </w:tc>
        <w:tc>
          <w:tcPr>
            <w:tcW w:type="dxa" w:w="23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Gizlilik sözleşmesi; erişim sınırı</w:t>
            </w:r>
          </w:p>
        </w:tc>
      </w:tr>
    </w:tbl>
    <w:p>
      <w:pPr>
        <w:spacing w:after="60"/>
      </w:pPr>
    </w:p>
    <w:p>
      <w:pPr>
        <w:spacing w:after="90"/>
      </w:pPr>
      <w:r>
        <w:rPr>
          <w:rFonts w:ascii="Arial" w:cs="Arial" w:eastAsia="Arial" w:hAnsi="Arial"/>
          <w:sz w:val="18"/>
          <w:szCs w:val="18"/>
        </w:rPr>
        <w:t xml:space="preserve">Mevcut önlemler (depo kayıtlarına göre):</w:t>
      </w:r>
    </w:p>
    <w:p>
      <w:pPr>
        <w:pStyle w:val="ListParagraph"/>
        <w:numPr>
          <w:ilvl w:val="0"/>
          <w:numId w:val="2"/>
        </w:numPr>
        <w:spacing w:after="50"/>
      </w:pPr>
      <w:r>
        <w:rPr>
          <w:rFonts w:ascii="Arial" w:cs="Arial" w:eastAsia="Arial" w:hAnsi="Arial"/>
          <w:sz w:val="18"/>
          <w:szCs w:val="18"/>
        </w:rPr>
        <w:t xml:space="preserve">Altı depo GitHub'da özeldir ve organizasyonun herkese açık deposu yoktur [K40].</w:t>
      </w:r>
    </w:p>
    <w:p>
      <w:pPr>
        <w:pStyle w:val="ListParagraph"/>
        <w:numPr>
          <w:ilvl w:val="0"/>
          <w:numId w:val="2"/>
        </w:numPr>
        <w:spacing w:after="50"/>
      </w:pPr>
      <w:r>
        <w:rPr>
          <w:rFonts w:ascii="Arial" w:cs="Arial" w:eastAsia="Arial" w:hAnsi="Arial"/>
          <w:sz w:val="18"/>
          <w:szCs w:val="18"/>
        </w:rPr>
        <w:t xml:space="preserve">Yazma yetkisi tek yöneticidedir; katkıcılar yalnız okuma yetkisiyle kendi kopyaları (fork) üzerinden değişiklik önerir ve her değişiklik birleştirmeden önce incelenir (CONTRIBUTING.md) [K42].</w:t>
      </w:r>
    </w:p>
    <w:p>
      <w:pPr>
        <w:pStyle w:val="ListParagraph"/>
        <w:numPr>
          <w:ilvl w:val="0"/>
          <w:numId w:val="2"/>
        </w:numPr>
        <w:spacing w:after="50"/>
      </w:pPr>
      <w:r>
        <w:rPr>
          <w:rFonts w:ascii="Arial" w:cs="Arial" w:eastAsia="Arial" w:hAnsi="Arial"/>
          <w:sz w:val="18"/>
          <w:szCs w:val="18"/>
        </w:rPr>
        <w:t xml:space="preserve">Puanlama formülleri, yol ağırlıkları, trafik katsayıları, motosiklet ağırlıklandırması, eğim cezaları ve CCH iç yapısı tarayıcının ya da uygulamanın okuyabileceği yanıtlara konmaz; API yalnız koordinat, mesafe ve süre döndürür (motomap-engine/AGENTS.md) [K42].</w:t>
      </w:r>
    </w:p>
    <w:p>
      <w:pPr>
        <w:pStyle w:val="ListParagraph"/>
        <w:numPr>
          <w:ilvl w:val="0"/>
          <w:numId w:val="2"/>
        </w:numPr>
        <w:spacing w:after="50"/>
      </w:pPr>
      <w:r>
        <w:rPr>
          <w:rFonts w:ascii="Arial" w:cs="Arial" w:eastAsia="Arial" w:hAnsi="Arial"/>
          <w:sz w:val="18"/>
          <w:szCs w:val="18"/>
        </w:rPr>
        <w:t xml:space="preserve">API anahtarları ve parolalar depoya yazılmaz, ortam değişkenlerinde tutulur (AGENTS.md) [K42].</w:t>
      </w:r>
    </w:p>
    <w:p>
      <w:pPr>
        <w:spacing w:after="90"/>
      </w:pPr>
      <w:r>
        <w:rPr>
          <w:rFonts w:ascii="Arial" w:cs="Arial" w:eastAsia="Arial" w:hAnsi="Arial"/>
          <w:sz w:val="18"/>
          <w:szCs w:val="18"/>
        </w:rPr>
        <w:t xml:space="preserve">Planlanan ve önerilen önlemler:</w:t>
      </w:r>
    </w:p>
    <w:p>
      <w:pPr>
        <w:pStyle w:val="ListParagraph"/>
        <w:numPr>
          <w:ilvl w:val="0"/>
          <w:numId w:val="11"/>
        </w:numPr>
        <w:spacing w:after="50"/>
      </w:pPr>
      <w:r>
        <w:rPr>
          <w:rFonts w:ascii="Arial" w:cs="Arial" w:eastAsia="Arial" w:hAnsi="Arial"/>
          <w:sz w:val="18"/>
          <w:szCs w:val="18"/>
        </w:rPr>
        <w:t xml:space="preserve">Tablo M-19'deki ticari sır kaydının sorumlu ve erişim listesiyle Aralık 2026'da kesinleştirilmesi önerilmektedir.</w:t>
      </w:r>
    </w:p>
    <w:p>
      <w:pPr>
        <w:pStyle w:val="ListParagraph"/>
        <w:numPr>
          <w:ilvl w:val="0"/>
          <w:numId w:val="11"/>
        </w:numPr>
        <w:spacing w:after="50"/>
      </w:pPr>
      <w:r>
        <w:rPr>
          <w:rFonts w:ascii="Arial" w:cs="Arial" w:eastAsia="Arial" w:hAnsi="Arial"/>
          <w:sz w:val="18"/>
          <w:szCs w:val="18"/>
        </w:rPr>
        <w:t xml:space="preserve">Çalışanlar, danışmanlar, pilot işletmeler, test kullanıcıları, vekiller ve dış hizmet sağlayıcılarla erişimden önce gizlilik sözleşmesi imzalanacaktır (2.6).</w:t>
      </w:r>
    </w:p>
    <w:p>
      <w:pPr>
        <w:pStyle w:val="ListParagraph"/>
        <w:numPr>
          <w:ilvl w:val="0"/>
          <w:numId w:val="11"/>
        </w:numPr>
        <w:spacing w:after="50"/>
      </w:pPr>
      <w:r>
        <w:rPr>
          <w:rFonts w:ascii="Arial" w:cs="Arial" w:eastAsia="Arial" w:hAnsi="Arial"/>
          <w:sz w:val="18"/>
          <w:szCs w:val="18"/>
        </w:rPr>
        <w:t xml:space="preserve">İş, hizmet ve danışmanlık sözleşmelerinde fikri hak sahipliği MotoMap A.Ş. lehine düzenlenecektir (2.6; FSEK md. 18/2); sözleşmelere sır saklama hükmü konacaktır (TBK md. 396).</w:t>
      </w:r>
    </w:p>
    <w:p>
      <w:pPr>
        <w:pStyle w:val="ListParagraph"/>
        <w:numPr>
          <w:ilvl w:val="0"/>
          <w:numId w:val="11"/>
        </w:numPr>
        <w:spacing w:after="50"/>
      </w:pPr>
      <w:r>
        <w:rPr>
          <w:rFonts w:ascii="Arial" w:cs="Arial" w:eastAsia="Arial" w:hAnsi="Arial"/>
          <w:sz w:val="18"/>
          <w:szCs w:val="18"/>
        </w:rPr>
        <w:t xml:space="preserve">Kritik sistemlerde en az iki kurucunun erişimi sağlanacaktır (5.1). GitHub organizasyonunda iki aşamalı kimlik doğrulamanın zorunlu tutulması, ayrılan kişilerin erişimlerinin kapatılması ve ellerindeki kopyaları sildiklerine ilişkin yazılı beyan alınması önerilmektedir.</w:t>
      </w:r>
    </w:p>
    <w:p>
      <w:pPr>
        <w:pStyle w:val="ListParagraph"/>
        <w:numPr>
          <w:ilvl w:val="0"/>
          <w:numId w:val="11"/>
        </w:numPr>
        <w:spacing w:after="50"/>
      </w:pPr>
      <w:r>
        <w:rPr>
          <w:rFonts w:ascii="Arial" w:cs="Arial" w:eastAsia="Arial" w:hAnsi="Arial"/>
          <w:sz w:val="18"/>
          <w:szCs w:val="18"/>
        </w:rPr>
        <w:t xml:space="preserve">MIT lisans dosyaları ve kullanım koşullarındaki açık kaynak ifadesi kaldırılacaktır (M.3.3); bu adım ticari sır korumasının ön koşuludur.</w:t>
      </w:r>
    </w:p>
    <w:p>
      <w:pPr>
        <w:pStyle w:val="ListParagraph"/>
        <w:numPr>
          <w:ilvl w:val="0"/>
          <w:numId w:val="11"/>
        </w:numPr>
        <w:spacing w:after="50"/>
      </w:pPr>
      <w:r>
        <w:rPr>
          <w:rFonts w:ascii="Arial" w:cs="Arial" w:eastAsia="Arial" w:hAnsi="Arial"/>
          <w:sz w:val="18"/>
          <w:szCs w:val="18"/>
        </w:rPr>
        <w:t xml:space="preserve">Algoritma ayrıntıları patentlenebilirlik değerlendirmesi tamamlanmadan yayımlanmayacaktır (M.7.5).</w:t>
      </w:r>
    </w:p>
    <w:p>
      <w:pPr>
        <w:pStyle w:val="Heading1"/>
        <w:keepNext/>
        <w:spacing w:after="100" w:before="260"/>
      </w:pPr>
      <w:r>
        <w:rPr>
          <w:rFonts w:ascii="Arial" w:cs="Arial" w:eastAsia="Arial" w:hAnsi="Arial"/>
          <w:b/>
          <w:bCs/>
          <w:i w:val="false"/>
          <w:iCs w:val="false"/>
          <w:color w:val="000000"/>
          <w:sz w:val="26"/>
          <w:szCs w:val="26"/>
        </w:rPr>
        <w:t xml:space="preserve">M.9 Sınırlılıklar</w:t>
      </w:r>
    </w:p>
    <w:p>
      <w:pPr>
        <w:pStyle w:val="ListParagraph"/>
        <w:numPr>
          <w:ilvl w:val="0"/>
          <w:numId w:val="2"/>
        </w:numPr>
        <w:spacing w:after="50"/>
      </w:pPr>
      <w:r>
        <w:rPr>
          <w:rFonts w:ascii="Arial" w:cs="Arial" w:eastAsia="Arial" w:hAnsi="Arial"/>
          <w:sz w:val="18"/>
          <w:szCs w:val="18"/>
        </w:rPr>
        <w:t xml:space="preserve">Git kayıtları 02.09.2026–26.09.2026 dönemini kapsamaktadır; önceki geliştirme ve katkılar kayıtlarda yoktur. Yazar adı ve e-posta geliştiricinin yerel ayarından gelir; kayıt eser sahipliğine ilişkin bir göstergedir ve tek başına kanıt sayılmaz. Birlikte yürütülen tasarım, inceleme, test ve saha çalışmaları commit sayısına yansımaz.</w:t>
      </w:r>
    </w:p>
    <w:p>
      <w:pPr>
        <w:pStyle w:val="ListParagraph"/>
        <w:numPr>
          <w:ilvl w:val="0"/>
          <w:numId w:val="2"/>
        </w:numPr>
        <w:spacing w:after="50"/>
      </w:pPr>
      <w:r>
        <w:rPr>
          <w:rFonts w:ascii="Arial" w:cs="Arial" w:eastAsia="Arial" w:hAnsi="Arial"/>
          <w:sz w:val="18"/>
          <w:szCs w:val="18"/>
        </w:rPr>
        <w:t xml:space="preserve">Lisans tespiti yerel geliştirme ortamındaki kurulu sürümlere dayanmaktadır. Motor deposundaki requirements.txt dosyası yalnız en düşük sürümleri belirttiğinden üretimdeki sürümler farklı olabilir. Dolaylı bağımlılıklar yalnız portal için (361 paket) taranmıştır; Python ve Flutter dolaylı bağımlılıkları ile Docker taban imajlarının bileşenleri taranmamıştır.</w:t>
      </w:r>
    </w:p>
    <w:p>
      <w:pPr>
        <w:pStyle w:val="ListParagraph"/>
        <w:numPr>
          <w:ilvl w:val="0"/>
          <w:numId w:val="2"/>
        </w:numPr>
        <w:spacing w:after="50"/>
      </w:pPr>
      <w:r>
        <w:rPr>
          <w:rFonts w:ascii="Arial" w:cs="Arial" w:eastAsia="Arial" w:hAnsi="Arial"/>
          <w:sz w:val="18"/>
          <w:szCs w:val="18"/>
        </w:rPr>
        <w:t xml:space="preserve">Hizmet koşulları kamuya açık sayfalardan okunmuştur; HERE ve diğer sağlayıcılarla imzalanacak ticari sözleşmeler farklı hükümler içerebilir.</w:t>
      </w:r>
    </w:p>
    <w:p>
      <w:pPr>
        <w:pStyle w:val="ListParagraph"/>
        <w:numPr>
          <w:ilvl w:val="0"/>
          <w:numId w:val="2"/>
        </w:numPr>
        <w:spacing w:after="50"/>
      </w:pPr>
      <w:r>
        <w:rPr>
          <w:rFonts w:ascii="Arial" w:cs="Arial" w:eastAsia="Arial" w:hAnsi="Arial"/>
          <w:sz w:val="18"/>
          <w:szCs w:val="18"/>
        </w:rPr>
        <w:t xml:space="preserve">Patent durumu Google Patents'teki otomatik bilgilere dayanmaktadır. EPO kayıt sistemi ve Espacenet 30.09.2026'da erişime kapalıydı (HTTP 403); Türkiye'deki geçerlilik ve yıllık ücret durumu doğrulanmamıştır. Tarama ekip içi ve sınırlıdır.</w:t>
      </w:r>
    </w:p>
    <w:p>
      <w:pPr>
        <w:pStyle w:val="ListParagraph"/>
        <w:numPr>
          <w:ilvl w:val="0"/>
          <w:numId w:val="2"/>
        </w:numPr>
        <w:spacing w:after="50"/>
      </w:pPr>
      <w:r>
        <w:rPr>
          <w:rFonts w:ascii="Arial" w:cs="Arial" w:eastAsia="Arial" w:hAnsi="Arial"/>
          <w:sz w:val="18"/>
          <w:szCs w:val="18"/>
        </w:rPr>
        <w:t xml:space="preserve">Marka ön taraması 23.09.2026 tarihlidir, kelime unsuruna dayanmaktadır ve şekil araması içermemektedir; bu tarihten sonraki başvuruları kapsamamaktadır. TÜRKPATENT ekran görüntüsü bu ekte yer almamaktadır.</w:t>
      </w:r>
    </w:p>
    <w:p>
      <w:pPr>
        <w:pStyle w:val="ListParagraph"/>
        <w:numPr>
          <w:ilvl w:val="0"/>
          <w:numId w:val="2"/>
        </w:numPr>
        <w:spacing w:after="50"/>
      </w:pPr>
      <w:r>
        <w:rPr>
          <w:rFonts w:ascii="Arial" w:cs="Arial" w:eastAsia="Arial" w:hAnsi="Arial"/>
          <w:sz w:val="18"/>
          <w:szCs w:val="18"/>
        </w:rPr>
        <w:t xml:space="preserve">Ek hukuki görüş değildir; mevzuat hükümleri özet olarak verilmiştir.</w:t>
      </w:r>
    </w:p>
    <w:p>
      <w:pPr>
        <w:pStyle w:val="Heading1"/>
        <w:keepNext/>
        <w:spacing w:after="100" w:before="260"/>
      </w:pPr>
      <w:r>
        <w:rPr>
          <w:rFonts w:ascii="Arial" w:cs="Arial" w:eastAsia="Arial" w:hAnsi="Arial"/>
          <w:b/>
          <w:bCs/>
          <w:i w:val="false"/>
          <w:iCs w:val="false"/>
          <w:color w:val="000000"/>
          <w:sz w:val="26"/>
          <w:szCs w:val="26"/>
        </w:rPr>
        <w:t xml:space="preserve">M.10 Kaynaklar</w:t>
      </w:r>
    </w:p>
    <w:p>
      <w:pPr>
        <w:keepNext/>
        <w:spacing w:after="60" w:before="140"/>
      </w:pPr>
      <w:r>
        <w:rPr>
          <w:rFonts w:ascii="Arial" w:cs="Arial" w:eastAsia="Arial" w:hAnsi="Arial"/>
          <w:b/>
          <w:bCs/>
          <w:sz w:val="18"/>
          <w:szCs w:val="18"/>
        </w:rPr>
        <w:t xml:space="preserve">Tablo M-20. Kaynak listesi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2"/>
        <w:gridCol w:w="9114"/>
      </w:tblGrid>
      <w:tr>
        <w:trPr>
          <w:cantSplit/>
          <w:tblHeader/>
        </w:trPr>
        <w:tc>
          <w:tcPr>
            <w:tcW w:type="dxa" w:w="79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No</w:t>
            </w:r>
          </w:p>
        </w:tc>
        <w:tc>
          <w:tcPr>
            <w:tcW w:type="dxa" w:w="911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TÜBİTAK TEYDEB, "1812 Yatırım Tabanlı Girişimcilik Destek Programı, 2026-2 Tohum Öncesi Yatırım Çağrısı Duyurusu v2", §5.5 m.6–7, Eylül 2026. </w:t>
            </w:r>
            <w:hyperlink w:history="1" r:id="rIdrjaevgidgcw4vwonzb_xk">
              <w:r>
                <w:rPr>
                  <w:rFonts w:ascii="Arial" w:cs="Arial" w:eastAsia="Arial" w:hAnsi="Arial"/>
                  <w:color w:val="1F4E79"/>
                  <w:sz w:val="17"/>
                  <w:szCs w:val="17"/>
                </w:rPr>
                <w:t xml:space="preserve">https://tubitak.gov.tr/sites/default/files/2026-09/1812-2026-2_Cagri_Duyurusu_v2.pdf</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TÜBİTAK, "Yatırım ve Pay Sahipleri Sözleşmesi, kuruluş, tek yatırımcı (TBF_202502_v3)", m.3.7 ve fikri ve sınai mülkiyet hakkı tanımı. </w:t>
            </w:r>
            <w:hyperlink w:history="1" r:id="rIdlcnxtoxzad3rhke4lmcxb">
              <w:r>
                <w:rPr>
                  <w:rFonts w:ascii="Arial" w:cs="Arial" w:eastAsia="Arial" w:hAnsi="Arial"/>
                  <w:color w:val="1F4E79"/>
                  <w:sz w:val="17"/>
                  <w:szCs w:val="17"/>
                </w:rPr>
                <w:t xml:space="preserve">https://tubitak.gov.tr/sites/default/files/2025-12/ypss_kurulus_tek_yatirimci_TBF_202502_v3.docx</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"5846 sayılı Fikir ve Sanat Eserleri Kanunu", güncel metin, md. 1/B, 2, 6, 8–11, 14–16, 18, 20–27, 48–53, Ek md. 8. </w:t>
            </w:r>
            <w:hyperlink w:history="1" r:id="rIdrrioyc7mjcuudctbbjbsl">
              <w:r>
                <w:rPr>
                  <w:rFonts w:ascii="Arial" w:cs="Arial" w:eastAsia="Arial" w:hAnsi="Arial"/>
                  <w:color w:val="1F4E79"/>
                  <w:sz w:val="17"/>
                  <w:szCs w:val="17"/>
                </w:rPr>
                <w:t xml:space="preserve">https://www.mevzuat.gov.tr/mevzuatmetin/1.3.5846.pdf</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[K4]</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"6769 sayılı Sınai Mülkiyet Kanunu", güncel metin, m.5, 18, 23, 82, 148. </w:t>
            </w:r>
            <w:hyperlink w:history="1" r:id="rIdmchmqmkjhpusb51moclie">
              <w:r>
                <w:rPr>
                  <w:rFonts w:ascii="Arial" w:cs="Arial" w:eastAsia="Arial" w:hAnsi="Arial"/>
                  <w:color w:val="1F4E79"/>
                  <w:sz w:val="17"/>
                  <w:szCs w:val="17"/>
                </w:rPr>
                <w:t xml:space="preserve">https://www.mevzuat.gov.tr/mevzuatmetin/1.5.6769.pdf</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[K5]</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"6102 sayılı Türk Ticaret Kanunu", güncel metin, md. 55, 355, 395. </w:t>
            </w:r>
            <w:hyperlink w:history="1" r:id="rIdxlit72law1ghgd07nzo30">
              <w:r>
                <w:rPr>
                  <w:rFonts w:ascii="Arial" w:cs="Arial" w:eastAsia="Arial" w:hAnsi="Arial"/>
                  <w:color w:val="1F4E79"/>
                  <w:sz w:val="17"/>
                  <w:szCs w:val="17"/>
                </w:rPr>
                <w:t xml:space="preserve">https://www.mevzuat.gov.tr/mevzuatmetin/1.5.6102.pdf</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[K6]</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"6098 sayılı Türk Borçlar Kanunu", güncel metin, md. 396. </w:t>
            </w:r>
            <w:hyperlink w:history="1" r:id="rIdxcuvgyd3vnkekbmfxsuyq">
              <w:r>
                <w:rPr>
                  <w:rFonts w:ascii="Arial" w:cs="Arial" w:eastAsia="Arial" w:hAnsi="Arial"/>
                  <w:color w:val="1F4E79"/>
                  <w:sz w:val="17"/>
                  <w:szCs w:val="17"/>
                </w:rPr>
                <w:t xml:space="preserve">https://www.mevzuat.gov.tr/mevzuatmetin/1.5.6098.pdf</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[K7]</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TÜRKPATENT, "Marka İşlem Ücretleri" (2026 işlem ücretleri). </w:t>
            </w:r>
            <w:hyperlink w:history="1" r:id="rId_3nfhjfzbpwe1x1bgygut">
              <w:r>
                <w:rPr>
                  <w:rFonts w:ascii="Arial" w:cs="Arial" w:eastAsia="Arial" w:hAnsi="Arial"/>
                  <w:color w:val="1F4E79"/>
                  <w:sz w:val="17"/>
                  <w:szCs w:val="17"/>
                </w:rPr>
                <w:t xml:space="preserve">https://www.turkpatent.gov.tr/marka-islem-ucretleri</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[K8]</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"Türk Patent ve Marka Kurumunca 2026 Yılında Uygulanacak Ücret Tarifesine İlişkin Tebliğ (BİK/TÜRKPATENT: 2026/1)", Resmî Gazete 31.12.2025, sayı 33124 (5. Mükerrer), m.1 ve 2 sayılı cetvel (Marka). </w:t>
            </w:r>
            <w:hyperlink w:history="1" r:id="rIdkthx0unx-uqlxpxifcxvt">
              <w:r>
                <w:rPr>
                  <w:rFonts w:ascii="Arial" w:cs="Arial" w:eastAsia="Arial" w:hAnsi="Arial"/>
                  <w:color w:val="1F4E79"/>
                  <w:sz w:val="17"/>
                  <w:szCs w:val="17"/>
                </w:rPr>
                <w:t xml:space="preserve">https://www.resmigazete.gov.tr/eskiler/2025/12/20251231M5-37.pdf</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[K9]</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"Ek-M. Marka Ön Taraması ve Tescil Stratejisi" ve "“MotoMap” marka ön taraması", v15 çalışma klasörü, 23.09.2026. İç belge</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[K10]</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TÜRKPATENT, "Marka Araştırma". </w:t>
            </w:r>
            <w:hyperlink w:history="1" r:id="rId29ydnhr62uj90yq2o--ju">
              <w:r>
                <w:rPr>
                  <w:rFonts w:ascii="Arial" w:cs="Arial" w:eastAsia="Arial" w:hAnsi="Arial"/>
                  <w:color w:val="1F4E79"/>
                  <w:sz w:val="17"/>
                  <w:szCs w:val="17"/>
                </w:rPr>
                <w:t xml:space="preserve">https://www.turkpatent.gov.tr/arastirma-yap?form=trademark</w:t>
              </w:r>
            </w:hyperlink>
            <w:r>
              <w:rPr>
                <w:rFonts w:ascii="Arial" w:cs="Arial" w:eastAsia="Arial" w:hAnsi="Arial"/>
                <w:sz w:val="17"/>
                <w:szCs w:val="17"/>
              </w:rPr>
              <w:t xml:space="preserve"> (erişim 23.09.2026, v15 taraması)</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[K11]</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EUIPO, "TMview". </w:t>
            </w:r>
            <w:hyperlink w:history="1" r:id="rIdfzo3kzzzm-dy_iw9qph4z">
              <w:r>
                <w:rPr>
                  <w:rFonts w:ascii="Arial" w:cs="Arial" w:eastAsia="Arial" w:hAnsi="Arial"/>
                  <w:color w:val="1F4E79"/>
                  <w:sz w:val="17"/>
                  <w:szCs w:val="17"/>
                </w:rPr>
                <w:t xml:space="preserve">https://www.tmdn.org/tmview/</w:t>
              </w:r>
            </w:hyperlink>
            <w:r>
              <w:rPr>
                <w:rFonts w:ascii="Arial" w:cs="Arial" w:eastAsia="Arial" w:hAnsi="Arial"/>
                <w:sz w:val="17"/>
                <w:szCs w:val="17"/>
              </w:rPr>
              <w:t xml:space="preserve"> (erişim 23.09.2026, v15 taraması)</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[K12]</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Patents, "EP3648077B1". </w:t>
            </w:r>
            <w:hyperlink w:history="1" r:id="rIds5j6icmvlaspdlf25slmo">
              <w:r>
                <w:rPr>
                  <w:rFonts w:ascii="Arial" w:cs="Arial" w:eastAsia="Arial" w:hAnsi="Arial"/>
                  <w:color w:val="1F4E79"/>
                  <w:sz w:val="17"/>
                  <w:szCs w:val="17"/>
                </w:rPr>
                <w:t xml:space="preserve">https://patents.google.com/patent/EP3648077B1/en</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[K13]</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Patents, "US10962381B2". </w:t>
            </w:r>
            <w:hyperlink w:history="1" r:id="rIdinatdvqrgsqqst-1hgrbp">
              <w:r>
                <w:rPr>
                  <w:rFonts w:ascii="Arial" w:cs="Arial" w:eastAsia="Arial" w:hAnsi="Arial"/>
                  <w:color w:val="1F4E79"/>
                  <w:sz w:val="17"/>
                  <w:szCs w:val="17"/>
                </w:rPr>
                <w:t xml:space="preserve">https://patents.google.com/patent/US10962381B2/en</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[K14]</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Patents, "US9964414B2". </w:t>
            </w:r>
            <w:hyperlink w:history="1" r:id="rIdbzsby5eu57f1ci115uw5t">
              <w:r>
                <w:rPr>
                  <w:rFonts w:ascii="Arial" w:cs="Arial" w:eastAsia="Arial" w:hAnsi="Arial"/>
                  <w:color w:val="1F4E79"/>
                  <w:sz w:val="17"/>
                  <w:szCs w:val="17"/>
                </w:rPr>
                <w:t xml:space="preserve">https://patents.google.com/patent/US9964414B2/en</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[K15]</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Patents, "US11566909B2". </w:t>
            </w:r>
            <w:hyperlink w:history="1" r:id="rIdjiqp-gdvap3bttxpryyzx">
              <w:r>
                <w:rPr>
                  <w:rFonts w:ascii="Arial" w:cs="Arial" w:eastAsia="Arial" w:hAnsi="Arial"/>
                  <w:color w:val="1F4E79"/>
                  <w:sz w:val="17"/>
                  <w:szCs w:val="17"/>
                </w:rPr>
                <w:t xml:space="preserve">https://patents.google.com/patent/US11566909B2/en</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[K16]</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Patents, "US20120310523A1". </w:t>
            </w:r>
            <w:hyperlink w:history="1" r:id="rId1f65cz5sgkifaceet27rm">
              <w:r>
                <w:rPr>
                  <w:rFonts w:ascii="Arial" w:cs="Arial" w:eastAsia="Arial" w:hAnsi="Arial"/>
                  <w:color w:val="1F4E79"/>
                  <w:sz w:val="17"/>
                  <w:szCs w:val="17"/>
                </w:rPr>
                <w:t xml:space="preserve">https://patents.google.com/patent/US20120310523A1/en</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[K17]</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Patents, "WO2011124271A1", "US8855930B2" ve "EP2556339B8". </w:t>
            </w:r>
            <w:hyperlink w:history="1" r:id="rId9wmmqt3zqfa-3aag4yjph">
              <w:r>
                <w:rPr>
                  <w:rFonts w:ascii="Arial" w:cs="Arial" w:eastAsia="Arial" w:hAnsi="Arial"/>
                  <w:color w:val="1F4E79"/>
                  <w:sz w:val="17"/>
                  <w:szCs w:val="17"/>
                </w:rPr>
                <w:t xml:space="preserve">https://patents.google.com/patent/WO2011124271A1/en</w:t>
              </w:r>
            </w:hyperlink>
            <w:r>
              <w:rPr>
                <w:rFonts w:ascii="Arial" w:cs="Arial" w:eastAsia="Arial" w:hAnsi="Arial"/>
                <w:sz w:val="17"/>
                <w:szCs w:val="17"/>
              </w:rPr>
              <w:t xml:space="preserve">; </w:t>
            </w:r>
            <w:hyperlink w:history="1" r:id="rIdu7t4tuyv_2sl-scgwpzl4">
              <w:r>
                <w:rPr>
                  <w:rFonts w:ascii="Arial" w:cs="Arial" w:eastAsia="Arial" w:hAnsi="Arial"/>
                  <w:color w:val="1F4E79"/>
                  <w:sz w:val="17"/>
                  <w:szCs w:val="17"/>
                </w:rPr>
                <w:t xml:space="preserve">https://patents.google.com/patent/US8855930B2/en</w:t>
              </w:r>
            </w:hyperlink>
            <w:r>
              <w:rPr>
                <w:rFonts w:ascii="Arial" w:cs="Arial" w:eastAsia="Arial" w:hAnsi="Arial"/>
                <w:sz w:val="17"/>
                <w:szCs w:val="17"/>
              </w:rPr>
              <w:t xml:space="preserve">; </w:t>
            </w:r>
            <w:hyperlink w:history="1" r:id="rIdzi2j9vblcyfykv8callau">
              <w:r>
                <w:rPr>
                  <w:rFonts w:ascii="Arial" w:cs="Arial" w:eastAsia="Arial" w:hAnsi="Arial"/>
                  <w:color w:val="1F4E79"/>
                  <w:sz w:val="17"/>
                  <w:szCs w:val="17"/>
                </w:rPr>
                <w:t xml:space="preserve">https://patents.google.com/patent/EP2556339B8/en</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[K18]</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Patents, "US20080004797A1" (US8224562B2). </w:t>
            </w:r>
            <w:hyperlink w:history="1" r:id="rId88lng145ra1wasrm9vu4x">
              <w:r>
                <w:rPr>
                  <w:rFonts w:ascii="Arial" w:cs="Arial" w:eastAsia="Arial" w:hAnsi="Arial"/>
                  <w:color w:val="1F4E79"/>
                  <w:sz w:val="17"/>
                  <w:szCs w:val="17"/>
                </w:rPr>
                <w:t xml:space="preserve">https://patents.google.com/patent/US20080004797A1/en</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[K19]</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USPTO, "US 2021/0356279 A1" yayın ön sayfası (PCT/IB2019/000359). </w:t>
            </w:r>
            <w:hyperlink w:history="1" r:id="rIdq8qnsctqivuwwhrhdviup">
              <w:r>
                <w:rPr>
                  <w:rFonts w:ascii="Arial" w:cs="Arial" w:eastAsia="Arial" w:hAnsi="Arial"/>
                  <w:color w:val="1F4E79"/>
                  <w:sz w:val="17"/>
                  <w:szCs w:val="17"/>
                </w:rPr>
                <w:t xml:space="preserve">https://image-ppubs.uspto.gov/dirsearch-public/print/downloadPdf/20210356279</w:t>
              </w:r>
            </w:hyperlink>
            <w:r>
              <w:rPr>
                <w:rFonts w:ascii="Arial" w:cs="Arial" w:eastAsia="Arial" w:hAnsi="Arial"/>
                <w:sz w:val="17"/>
                <w:szCs w:val="17"/>
              </w:rPr>
              <w:t xml:space="preserve">; Google Patents, </w:t>
            </w:r>
            <w:hyperlink w:history="1" r:id="rIdfdfbkbeevvw3atv8jq3xs">
              <w:r>
                <w:rPr>
                  <w:rFonts w:ascii="Arial" w:cs="Arial" w:eastAsia="Arial" w:hAnsi="Arial"/>
                  <w:color w:val="1F4E79"/>
                  <w:sz w:val="17"/>
                  <w:szCs w:val="17"/>
                </w:rPr>
                <w:t xml:space="preserve">https://patents.google.com/patent/US20210356279A1/en</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[K20]</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Patents, "US20230360525A1". </w:t>
            </w:r>
            <w:hyperlink w:history="1" r:id="rIddbjegq3kib82yjnn5x7rp">
              <w:r>
                <w:rPr>
                  <w:rFonts w:ascii="Arial" w:cs="Arial" w:eastAsia="Arial" w:hAnsi="Arial"/>
                  <w:color w:val="1F4E79"/>
                  <w:sz w:val="17"/>
                  <w:szCs w:val="17"/>
                </w:rPr>
                <w:t xml:space="preserve">https://patents.google.com/patent/US20230360525A1/en</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[K21]</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"Ek-A. Teknik Özet", v15 çalışma sürümü, bölüm A.7 (patent ön taraması ve istem karşılaştırması), 23.09.2026. İç belge</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[K22]</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The Next Web, "Google Maps' new two-wheeler mode shows fast routes for zipping through traffic on your bike", 05.12.2017. </w:t>
            </w:r>
            <w:hyperlink w:history="1" r:id="rIdtu92usm58xw2uzznyf3ct">
              <w:r>
                <w:rPr>
                  <w:rFonts w:ascii="Arial" w:cs="Arial" w:eastAsia="Arial" w:hAnsi="Arial"/>
                  <w:color w:val="1F4E79"/>
                  <w:sz w:val="17"/>
                  <w:szCs w:val="17"/>
                </w:rPr>
                <w:t xml:space="preserve">https://thenextweb.com/news/google-maps-new-two-wheeler-mode-shows-faster-routes-for-zipping-through-traffic-on-your-bike</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[K23]</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Open Data Commons, "Open Database License (ODbL) v1.0", m.4.2–4.6. </w:t>
            </w:r>
            <w:hyperlink w:history="1" r:id="rIde_kxqcoahykwiuvbjmqeu">
              <w:r>
                <w:rPr>
                  <w:rFonts w:ascii="Arial" w:cs="Arial" w:eastAsia="Arial" w:hAnsi="Arial"/>
                  <w:color w:val="1F4E79"/>
                  <w:sz w:val="17"/>
                  <w:szCs w:val="17"/>
                </w:rPr>
                <w:t xml:space="preserve">https://opendatacommons.org/licenses/odbl/1-0/</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[K24]</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OpenStreetMap Foundation, "Collective Database Guideline", yönetim kurulu onayı 17.06.2016. </w:t>
            </w:r>
            <w:hyperlink w:history="1" r:id="rIdrljft-q_c9bprgjycjbpt">
              <w:r>
                <w:rPr>
                  <w:rFonts w:ascii="Arial" w:cs="Arial" w:eastAsia="Arial" w:hAnsi="Arial"/>
                  <w:color w:val="1F4E79"/>
                  <w:sz w:val="17"/>
                  <w:szCs w:val="17"/>
                </w:rPr>
                <w:t xml:space="preserve">https://osmfoundation.org/wiki/Licence/Community_Guidelines/Collective_Database_Guideline_Guideline</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[K25]</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HERE, "HERE Platform Terms", yürürlük 18.09.2023, m.6.4, 13.1, Ek 5. </w:t>
            </w:r>
            <w:hyperlink w:history="1" r:id="rIdij-ystam4owqd906jyebx">
              <w:r>
                <w:rPr>
                  <w:rFonts w:ascii="Arial" w:cs="Arial" w:eastAsia="Arial" w:hAnsi="Arial"/>
                  <w:color w:val="1F4E79"/>
                  <w:sz w:val="17"/>
                  <w:szCs w:val="17"/>
                </w:rPr>
                <w:t xml:space="preserve">https://www.here.com/en-gb/terms/here-platform-terms-september-2023</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[K26]</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Google for Developers, "Elevation API Policies", son güncelleme 24.09.2026. </w:t>
            </w:r>
            <w:hyperlink w:history="1" r:id="rIdh6qat_t5qt3lsfc2vucn3">
              <w:r>
                <w:rPr>
                  <w:rFonts w:ascii="Arial" w:cs="Arial" w:eastAsia="Arial" w:hAnsi="Arial"/>
                  <w:color w:val="1F4E79"/>
                  <w:sz w:val="17"/>
                  <w:szCs w:val="17"/>
                </w:rPr>
                <w:t xml:space="preserve">https://developers.google.com/maps/documentation/elevation/policies</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[K27]</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Overpass API belgeleri, "Commons" (kamuya açık sunucuların kullanım ilkeleri). </w:t>
            </w:r>
            <w:hyperlink w:history="1" r:id="rIdoiyrcwjzj0jj5uc16j5eu">
              <w:r>
                <w:rPr>
                  <w:rFonts w:ascii="Arial" w:cs="Arial" w:eastAsia="Arial" w:hAnsi="Arial"/>
                  <w:color w:val="1F4E79"/>
                  <w:sz w:val="17"/>
                  <w:szCs w:val="17"/>
                </w:rPr>
                <w:t xml:space="preserve">https://dev.overpass-api.de/overpass-doc/en/preface/commons.html</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[K28]</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OpenWeather, "Pricing" (lisans ve atıf koşulları). </w:t>
            </w:r>
            <w:hyperlink w:history="1" r:id="rId-a7ljbu84cwamfipdnxkh">
              <w:r>
                <w:rPr>
                  <w:rFonts w:ascii="Arial" w:cs="Arial" w:eastAsia="Arial" w:hAnsi="Arial"/>
                  <w:color w:val="1F4E79"/>
                  <w:sz w:val="17"/>
                  <w:szCs w:val="17"/>
                </w:rPr>
                <w:t xml:space="preserve">https://openweathermap.org/full-price</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[K29]</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Open Topo Data, "EU-DEM" veri seti sayfası. </w:t>
            </w:r>
            <w:hyperlink w:history="1" r:id="rIdmtwnzpshb5saa0ymizbvc">
              <w:r>
                <w:rPr>
                  <w:rFonts w:ascii="Arial" w:cs="Arial" w:eastAsia="Arial" w:hAnsi="Arial"/>
                  <w:color w:val="1F4E79"/>
                  <w:sz w:val="17"/>
                  <w:szCs w:val="17"/>
                </w:rPr>
                <w:t xml:space="preserve">https://www.opentopodata.org/datasets/eudem/</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[K30]</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Redis, "Licenses". </w:t>
            </w:r>
            <w:hyperlink w:history="1" r:id="rId8o8ppsblsrddylhs7tbz6">
              <w:r>
                <w:rPr>
                  <w:rFonts w:ascii="Arial" w:cs="Arial" w:eastAsia="Arial" w:hAnsi="Arial"/>
                  <w:color w:val="1F4E79"/>
                  <w:sz w:val="17"/>
                  <w:szCs w:val="17"/>
                </w:rPr>
                <w:t xml:space="preserve">https://redis.io/legal/licenses/</w:t>
              </w:r>
            </w:hyperlink>
            <w:r>
              <w:rPr>
                <w:rFonts w:ascii="Arial" w:cs="Arial" w:eastAsia="Arial" w:hAnsi="Arial"/>
                <w:sz w:val="17"/>
                <w:szCs w:val="17"/>
              </w:rPr>
              <w:t xml:space="preserve">; Docker Hub, redis 7-alpine ve 7.4-alpine etiketleri. </w:t>
            </w:r>
            <w:hyperlink w:history="1" r:id="rIdqmoecvoeqc5oy5f5ox0bn">
              <w:r>
                <w:rPr>
                  <w:rFonts w:ascii="Arial" w:cs="Arial" w:eastAsia="Arial" w:hAnsi="Arial"/>
                  <w:color w:val="1F4E79"/>
                  <w:sz w:val="17"/>
                  <w:szCs w:val="17"/>
                </w:rPr>
                <w:t xml:space="preserve">https://hub.docker.com/_/redis</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[K31]</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GraphHopper, GitHub deposu, LICENSE.txt ve NOTICE.md. </w:t>
            </w:r>
            <w:hyperlink w:history="1" r:id="rIddmtnx3nvhwy9ociljhyyu">
              <w:r>
                <w:rPr>
                  <w:rFonts w:ascii="Arial" w:cs="Arial" w:eastAsia="Arial" w:hAnsi="Arial"/>
                  <w:color w:val="1F4E79"/>
                  <w:sz w:val="17"/>
                  <w:szCs w:val="17"/>
                </w:rPr>
                <w:t xml:space="preserve">https://github.com/graphhopper/graphhopper</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[K32]</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PostgreSQL Global Development Group, "License". </w:t>
            </w:r>
            <w:hyperlink w:history="1" r:id="rIdfe6cup6hwkpsrbtnq17hx">
              <w:r>
                <w:rPr>
                  <w:rFonts w:ascii="Arial" w:cs="Arial" w:eastAsia="Arial" w:hAnsi="Arial"/>
                  <w:color w:val="1F4E79"/>
                  <w:sz w:val="17"/>
                  <w:szCs w:val="17"/>
                </w:rPr>
                <w:t xml:space="preserve">https://www.postgresql.org/about/licence/</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[K33]</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Flutter, "LICENSE" (BSD-3-Clause). </w:t>
            </w:r>
            <w:hyperlink w:history="1" r:id="rIdgz18ycdwdbumk8vaxabak">
              <w:r>
                <w:rPr>
                  <w:rFonts w:ascii="Arial" w:cs="Arial" w:eastAsia="Arial" w:hAnsi="Arial"/>
                  <w:color w:val="1F4E79"/>
                  <w:sz w:val="17"/>
                  <w:szCs w:val="17"/>
                </w:rPr>
                <w:t xml:space="preserve">https://github.com/flutter/flutter/blob/master/LICENSE</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[K34]</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GitHub, "Mona Sans" deposu (SIL Open Font License 1.1). </w:t>
            </w:r>
            <w:hyperlink w:history="1" r:id="rIdahh0edm6d8xsb4hreycwm">
              <w:r>
                <w:rPr>
                  <w:rFonts w:ascii="Arial" w:cs="Arial" w:eastAsia="Arial" w:hAnsi="Arial"/>
                  <w:color w:val="1F4E79"/>
                  <w:sz w:val="17"/>
                  <w:szCs w:val="17"/>
                </w:rPr>
                <w:t xml:space="preserve">https://github.com/github/mona-sans</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[K35]</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Artifex Software, "urw-base35-fonts", LICENSE ve COPYING. </w:t>
            </w:r>
            <w:hyperlink w:history="1" r:id="rIdzbvoaozpczbcapvgxlajc">
              <w:r>
                <w:rPr>
                  <w:rFonts w:ascii="Arial" w:cs="Arial" w:eastAsia="Arial" w:hAnsi="Arial"/>
                  <w:color w:val="1F4E79"/>
                  <w:sz w:val="17"/>
                  <w:szCs w:val="17"/>
                </w:rPr>
                <w:t xml:space="preserve">https://github.com/ArtifexSoftware/urw-base35-fonts</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[K36]</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PyMetis, "LICENSE" (sarmalayıcı MIT; METIS Apache-2.0). </w:t>
            </w:r>
            <w:hyperlink w:history="1" r:id="rIdshdek-3frwps1dceu_nve">
              <w:r>
                <w:rPr>
                  <w:rFonts w:ascii="Arial" w:cs="Arial" w:eastAsia="Arial" w:hAnsi="Arial"/>
                  <w:color w:val="1F4E79"/>
                  <w:sz w:val="17"/>
                  <w:szCs w:val="17"/>
                </w:rPr>
                <w:t xml:space="preserve">https://github.com/inducer/pymetis</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[K37]</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GitHub lisans kayıtları: Leaflet (BSD-2-Clause), Geist (OFL-1.1), Inter (OFL-1.1), Source Serif (OFL-1.1). </w:t>
            </w:r>
            <w:hyperlink w:history="1" r:id="rIdctxodktaxn_el8sqyhlup">
              <w:r>
                <w:rPr>
                  <w:rFonts w:ascii="Arial" w:cs="Arial" w:eastAsia="Arial" w:hAnsi="Arial"/>
                  <w:color w:val="1F4E79"/>
                  <w:sz w:val="17"/>
                  <w:szCs w:val="17"/>
                </w:rPr>
                <w:t xml:space="preserve">https://github.com/Leaflet/Leaflet</w:t>
              </w:r>
            </w:hyperlink>
            <w:r>
              <w:rPr>
                <w:rFonts w:ascii="Arial" w:cs="Arial" w:eastAsia="Arial" w:hAnsi="Arial"/>
                <w:sz w:val="17"/>
                <w:szCs w:val="17"/>
              </w:rPr>
              <w:t xml:space="preserve">; </w:t>
            </w:r>
            <w:hyperlink w:history="1" r:id="rIdrekpb74r9tc1dalzyvdj_">
              <w:r>
                <w:rPr>
                  <w:rFonts w:ascii="Arial" w:cs="Arial" w:eastAsia="Arial" w:hAnsi="Arial"/>
                  <w:color w:val="1F4E79"/>
                  <w:sz w:val="17"/>
                  <w:szCs w:val="17"/>
                </w:rPr>
                <w:t xml:space="preserve">https://github.com/vercel/geist-font</w:t>
              </w:r>
            </w:hyperlink>
            <w:r>
              <w:rPr>
                <w:rFonts w:ascii="Arial" w:cs="Arial" w:eastAsia="Arial" w:hAnsi="Arial"/>
                <w:sz w:val="17"/>
                <w:szCs w:val="17"/>
              </w:rPr>
              <w:t xml:space="preserve">; </w:t>
            </w:r>
            <w:hyperlink w:history="1" r:id="rIdgw04w4de6rh7goepwmmri">
              <w:r>
                <w:rPr>
                  <w:rFonts w:ascii="Arial" w:cs="Arial" w:eastAsia="Arial" w:hAnsi="Arial"/>
                  <w:color w:val="1F4E79"/>
                  <w:sz w:val="17"/>
                  <w:szCs w:val="17"/>
                </w:rPr>
                <w:t xml:space="preserve">https://github.com/rsms/inter</w:t>
              </w:r>
            </w:hyperlink>
            <w:r>
              <w:rPr>
                <w:rFonts w:ascii="Arial" w:cs="Arial" w:eastAsia="Arial" w:hAnsi="Arial"/>
                <w:sz w:val="17"/>
                <w:szCs w:val="17"/>
              </w:rPr>
              <w:t xml:space="preserve">; </w:t>
            </w:r>
            <w:hyperlink w:history="1" r:id="rIdwepmekmwnyz57socfhiu7">
              <w:r>
                <w:rPr>
                  <w:rFonts w:ascii="Arial" w:cs="Arial" w:eastAsia="Arial" w:hAnsi="Arial"/>
                  <w:color w:val="1F4E79"/>
                  <w:sz w:val="17"/>
                  <w:szCs w:val="17"/>
                </w:rPr>
                <w:t xml:space="preserve">https://github.com/adobe-fonts/source-serif</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[K38]</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PS2EXE, "LICENSE" (Microsoft Limited Public License 1.1). </w:t>
            </w:r>
            <w:hyperlink w:history="1" r:id="rId-qiy5apheqfk0rhrbvlcp">
              <w:r>
                <w:rPr>
                  <w:rFonts w:ascii="Arial" w:cs="Arial" w:eastAsia="Arial" w:hAnsi="Arial"/>
                  <w:color w:val="1F4E79"/>
                  <w:sz w:val="17"/>
                  <w:szCs w:val="17"/>
                </w:rPr>
                <w:t xml:space="preserve">https://github.com/MScholtes/PS2EXE</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[K39]</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Esri, "Esri Web Site and Service Terms of Use". </w:t>
            </w:r>
            <w:hyperlink w:history="1" r:id="rId03vvm_lrglzbp83q_25z9">
              <w:r>
                <w:rPr>
                  <w:rFonts w:ascii="Arial" w:cs="Arial" w:eastAsia="Arial" w:hAnsi="Arial"/>
                  <w:color w:val="1F4E79"/>
                  <w:sz w:val="17"/>
                  <w:szCs w:val="17"/>
                </w:rPr>
                <w:t xml:space="preserve">https://www.esri.com/en-us/legal/terms/web-site-service</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[K40]</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GitHub REST API, MOTOMAP-A-S organizasyonu (public_repos: 0; oluşturulma 02.09.2026) ve altı deponun herkese açık erişim denetimi (HTTP 404). </w:t>
            </w:r>
            <w:hyperlink w:history="1" r:id="rIdahm9jz2drmrw75aartkil">
              <w:r>
                <w:rPr>
                  <w:rFonts w:ascii="Arial" w:cs="Arial" w:eastAsia="Arial" w:hAnsi="Arial"/>
                  <w:color w:val="1F4E79"/>
                  <w:sz w:val="17"/>
                  <w:szCs w:val="17"/>
                </w:rPr>
                <w:t xml:space="preserve">https://api.github.com/orgs/MOTOMAP-A-S</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[K41]</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"Kullanım Koşulları", yürürlük 03.09.2026, bölüm 8–9. </w:t>
            </w:r>
            <w:hyperlink w:history="1" r:id="rIdvgj2foetx0xpoo-bsh_rl">
              <w:r>
                <w:rPr>
                  <w:rFonts w:ascii="Arial" w:cs="Arial" w:eastAsia="Arial" w:hAnsi="Arial"/>
                  <w:color w:val="1F4E79"/>
                  <w:sz w:val="17"/>
                  <w:szCs w:val="17"/>
                </w:rPr>
                <w:t xml:space="preserve">https://motomap.co/kullanim-kosullari/</w:t>
              </w:r>
            </w:hyperlink>
            <w:r>
              <w:rPr>
                <w:rFonts w:ascii="Arial" w:cs="Arial" w:eastAsia="Arial" w:hAnsi="Arial"/>
                <w:sz w:val="17"/>
                <w:szCs w:val="17"/>
              </w:rPr>
              <w:t xml:space="preserve"> (erişim 30.09.2026)</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[K42]</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altı kod deposunun kayıtları: git kayıtları, LICENSE, README.md, CONTRIBUTING.md, AGENTS.md, CODEOWNERS, requirements.txt, pubspec.yaml, pubspec.lock, package.json, Dockerfile, docker-compose dosyaları, graphhopper/, docs/ ve kaynak kod, 30.09.2026. İç kod deposu</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[K43]</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"AGY 112 İş Planı, 5.1 revize sürüm", Eylül 2026; alanlar 1.7, 2.3, 2.5, 2.6, 3.1–3.4, 4.3, 5.1. İç belge</w:t>
            </w:r>
          </w:p>
        </w:tc>
      </w:tr>
      <w:tr>
        <w:trPr>
          <w:cantSplit/>
          <w:tblHeader w:val="off"/>
        </w:trPr>
        <w:tc>
          <w:tcPr>
            <w:tcW w:type="dxa" w:w="7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[K44]</w:t>
            </w:r>
          </w:p>
        </w:tc>
        <w:tc>
          <w:tcPr>
            <w:tcW w:type="dxa" w:w="9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web derlemesi, </w:t>
            </w:r>
            <w:hyperlink w:history="1" r:id="rIdezubqt3qyfsaxj6gcphiz">
              <w:r>
                <w:rPr>
                  <w:rFonts w:ascii="Arial" w:cs="Arial" w:eastAsia="Arial" w:hAnsi="Arial"/>
                  <w:color w:val="1F4E79"/>
                  <w:sz w:val="17"/>
                  <w:szCs w:val="17"/>
                </w:rPr>
                <w:t xml:space="preserve">https://app.motomap.co/assets/NOTICES</w:t>
              </w:r>
            </w:hyperlink>
            <w:r>
              <w:rPr>
                <w:rFonts w:ascii="Arial" w:cs="Arial" w:eastAsia="Arial" w:hAnsi="Arial"/>
                <w:sz w:val="17"/>
                <w:szCs w:val="17"/>
              </w:rPr>
              <w:t xml:space="preserve"> ve </w:t>
            </w:r>
            <w:hyperlink w:history="1" r:id="rIdu1zsq3dplb95q1c7qqo9w">
              <w:r>
                <w:rPr>
                  <w:rFonts w:ascii="Arial" w:cs="Arial" w:eastAsia="Arial" w:hAnsi="Arial"/>
                  <w:color w:val="1F4E79"/>
                  <w:sz w:val="17"/>
                  <w:szCs w:val="17"/>
                </w:rPr>
                <w:t xml:space="preserve">https://app.motomap.co/assets/assets/fonts/OFL-MotoMapSans.txt</w:t>
              </w:r>
            </w:hyperlink>
            <w:r>
              <w:rPr>
                <w:rFonts w:ascii="Arial" w:cs="Arial" w:eastAsia="Arial" w:hAnsi="Arial"/>
                <w:sz w:val="17"/>
                <w:szCs w:val="17"/>
              </w:rPr>
              <w:t xml:space="preserve"> (erişim 30.09.2026)</w:t>
            </w:r>
          </w:p>
        </w:tc>
      </w:tr>
    </w:tbl>
    <w:p>
      <w:pPr>
        <w:spacing w:after="60"/>
      </w:pP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5"/>
        <w:szCs w:val="15"/>
      </w:rPr>
      <w:t xml:space="preserve">MotoMap · AGY 112 · Ek-M ·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rFonts w:ascii="Arial" w:cs="Arial" w:eastAsia="Arial" w:hAnsi="Arial"/>
      </w:rPr>
    </w:lvl>
  </w:abstractNum>
  <w:abstractNum w:abstractNumId="3" w15:restartNumberingAfterBreak="0">
    <w:multiLevelType w:val="hybridMultilevel"/>
    <w:lvl w:ilvl="0" w:tentative="1">
      <w:start w:val="1"/>
      <w:numFmt w:val="decimal"/>
      <w:lvlText w:val="%1."/>
      <w:lvlJc w:val="left"/>
      <w:pPr>
        <w:ind w:left="400" w:hanging="30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Arial" w:cs="Arial" w:eastAsia="Arial" w:hAnsi="Arial"/>
      <w:b/>
      <w:bCs/>
      <w:color w:val="000000"/>
      <w:sz w:val="26"/>
      <w:szCs w:val="26"/>
    </w:rPr>
  </w:style>
  <w:style w:type="paragraph" w:styleId="Heading2">
    <w:name w:val="Heading 2"/>
    <w:basedOn w:val="Normal"/>
    <w:next w:val="Normal"/>
    <w:qFormat/>
    <w:pPr>
      <w:spacing w:after="80" w:before="180"/>
      <w:outlineLvl w:val="1"/>
    </w:pPr>
    <w:rPr>
      <w:rFonts w:ascii="Arial" w:cs="Arial" w:eastAsia="Arial" w:hAnsi="Arial"/>
      <w:b/>
      <w:bCs/>
      <w:color w:val="000000"/>
      <w:sz w:val="21"/>
      <w:szCs w:val="21"/>
    </w:rPr>
  </w:style>
  <w:style w:type="paragraph" w:styleId="Heading3">
    <w:name w:val="Heading 3"/>
    <w:basedOn w:val="Normal"/>
    <w:next w:val="Normal"/>
    <w:qFormat/>
    <w:pPr>
      <w:spacing w:after="60" w:before="140"/>
      <w:outlineLvl w:val="2"/>
    </w:pPr>
    <w:rPr>
      <w:rFonts w:ascii="Arial" w:cs="Arial" w:eastAsia="Arial" w:hAnsi="Arial"/>
      <w:b/>
      <w:bCs/>
      <w:i/>
      <w:iCs/>
      <w:color w:val="000000"/>
      <w:sz w:val="19"/>
      <w:szCs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rjaevgidgcw4vwonzb_xk" Type="http://schemas.openxmlformats.org/officeDocument/2006/relationships/hyperlink" Target="https://tubitak.gov.tr/sites/default/files/2026-09/1812-2026-2_Cagri_Duyurusu_v2.pdf" TargetMode="External"/><Relationship Id="rIdlcnxtoxzad3rhke4lmcxb" Type="http://schemas.openxmlformats.org/officeDocument/2006/relationships/hyperlink" Target="https://tubitak.gov.tr/sites/default/files/2025-12/ypss_kurulus_tek_yatirimci_TBF_202502_v3.docx" TargetMode="External"/><Relationship Id="rIdrrioyc7mjcuudctbbjbsl" Type="http://schemas.openxmlformats.org/officeDocument/2006/relationships/hyperlink" Target="https://www.mevzuat.gov.tr/mevzuatmetin/1.3.5846.pdf" TargetMode="External"/><Relationship Id="rIdmchmqmkjhpusb51moclie" Type="http://schemas.openxmlformats.org/officeDocument/2006/relationships/hyperlink" Target="https://www.mevzuat.gov.tr/mevzuatmetin/1.5.6769.pdf" TargetMode="External"/><Relationship Id="rIdxlit72law1ghgd07nzo30" Type="http://schemas.openxmlformats.org/officeDocument/2006/relationships/hyperlink" Target="https://www.mevzuat.gov.tr/mevzuatmetin/1.5.6102.pdf" TargetMode="External"/><Relationship Id="rIdxcuvgyd3vnkekbmfxsuyq" Type="http://schemas.openxmlformats.org/officeDocument/2006/relationships/hyperlink" Target="https://www.mevzuat.gov.tr/mevzuatmetin/1.5.6098.pdf" TargetMode="External"/><Relationship Id="rId_3nfhjfzbpwe1x1bgygut" Type="http://schemas.openxmlformats.org/officeDocument/2006/relationships/hyperlink" Target="https://www.turkpatent.gov.tr/marka-islem-ucretleri" TargetMode="External"/><Relationship Id="rIdkthx0unx-uqlxpxifcxvt" Type="http://schemas.openxmlformats.org/officeDocument/2006/relationships/hyperlink" Target="https://www.resmigazete.gov.tr/eskiler/2025/12/20251231M5-37.pdf" TargetMode="External"/><Relationship Id="rId29ydnhr62uj90yq2o--ju" Type="http://schemas.openxmlformats.org/officeDocument/2006/relationships/hyperlink" Target="https://www.turkpatent.gov.tr/arastirma-yap?form=trademark" TargetMode="External"/><Relationship Id="rIdfzo3kzzzm-dy_iw9qph4z" Type="http://schemas.openxmlformats.org/officeDocument/2006/relationships/hyperlink" Target="https://www.tmdn.org/tmview/" TargetMode="External"/><Relationship Id="rIds5j6icmvlaspdlf25slmo" Type="http://schemas.openxmlformats.org/officeDocument/2006/relationships/hyperlink" Target="https://patents.google.com/patent/EP3648077B1/en" TargetMode="External"/><Relationship Id="rIdinatdvqrgsqqst-1hgrbp" Type="http://schemas.openxmlformats.org/officeDocument/2006/relationships/hyperlink" Target="https://patents.google.com/patent/US10962381B2/en" TargetMode="External"/><Relationship Id="rIdbzsby5eu57f1ci115uw5t" Type="http://schemas.openxmlformats.org/officeDocument/2006/relationships/hyperlink" Target="https://patents.google.com/patent/US9964414B2/en" TargetMode="External"/><Relationship Id="rIdjiqp-gdvap3bttxpryyzx" Type="http://schemas.openxmlformats.org/officeDocument/2006/relationships/hyperlink" Target="https://patents.google.com/patent/US11566909B2/en" TargetMode="External"/><Relationship Id="rId1f65cz5sgkifaceet27rm" Type="http://schemas.openxmlformats.org/officeDocument/2006/relationships/hyperlink" Target="https://patents.google.com/patent/US20120310523A1/en" TargetMode="External"/><Relationship Id="rId9wmmqt3zqfa-3aag4yjph" Type="http://schemas.openxmlformats.org/officeDocument/2006/relationships/hyperlink" Target="https://patents.google.com/patent/WO2011124271A1/en" TargetMode="External"/><Relationship Id="rIdu7t4tuyv_2sl-scgwpzl4" Type="http://schemas.openxmlformats.org/officeDocument/2006/relationships/hyperlink" Target="https://patents.google.com/patent/US8855930B2/en" TargetMode="External"/><Relationship Id="rIdzi2j9vblcyfykv8callau" Type="http://schemas.openxmlformats.org/officeDocument/2006/relationships/hyperlink" Target="https://patents.google.com/patent/EP2556339B8/en" TargetMode="External"/><Relationship Id="rId88lng145ra1wasrm9vu4x" Type="http://schemas.openxmlformats.org/officeDocument/2006/relationships/hyperlink" Target="https://patents.google.com/patent/US20080004797A1/en" TargetMode="External"/><Relationship Id="rIdq8qnsctqivuwwhrhdviup" Type="http://schemas.openxmlformats.org/officeDocument/2006/relationships/hyperlink" Target="https://image-ppubs.uspto.gov/dirsearch-public/print/downloadPdf/20210356279" TargetMode="External"/><Relationship Id="rIdfdfbkbeevvw3atv8jq3xs" Type="http://schemas.openxmlformats.org/officeDocument/2006/relationships/hyperlink" Target="https://patents.google.com/patent/US20210356279A1/en" TargetMode="External"/><Relationship Id="rIddbjegq3kib82yjnn5x7rp" Type="http://schemas.openxmlformats.org/officeDocument/2006/relationships/hyperlink" Target="https://patents.google.com/patent/US20230360525A1/en" TargetMode="External"/><Relationship Id="rIdtu92usm58xw2uzznyf3ct" Type="http://schemas.openxmlformats.org/officeDocument/2006/relationships/hyperlink" Target="https://thenextweb.com/news/google-maps-new-two-wheeler-mode-shows-faster-routes-for-zipping-through-traffic-on-your-bike" TargetMode="External"/><Relationship Id="rIde_kxqcoahykwiuvbjmqeu" Type="http://schemas.openxmlformats.org/officeDocument/2006/relationships/hyperlink" Target="https://opendatacommons.org/licenses/odbl/1-0/" TargetMode="External"/><Relationship Id="rIdrljft-q_c9bprgjycjbpt" Type="http://schemas.openxmlformats.org/officeDocument/2006/relationships/hyperlink" Target="https://osmfoundation.org/wiki/Licence/Community_Guidelines/Collective_Database_Guideline_Guideline" TargetMode="External"/><Relationship Id="rIdij-ystam4owqd906jyebx" Type="http://schemas.openxmlformats.org/officeDocument/2006/relationships/hyperlink" Target="https://www.here.com/en-gb/terms/here-platform-terms-september-2023" TargetMode="External"/><Relationship Id="rIdh6qat_t5qt3lsfc2vucn3" Type="http://schemas.openxmlformats.org/officeDocument/2006/relationships/hyperlink" Target="https://developers.google.com/maps/documentation/elevation/policies" TargetMode="External"/><Relationship Id="rIdoiyrcwjzj0jj5uc16j5eu" Type="http://schemas.openxmlformats.org/officeDocument/2006/relationships/hyperlink" Target="https://dev.overpass-api.de/overpass-doc/en/preface/commons.html" TargetMode="External"/><Relationship Id="rId-a7ljbu84cwamfipdnxkh" Type="http://schemas.openxmlformats.org/officeDocument/2006/relationships/hyperlink" Target="https://openweathermap.org/full-price" TargetMode="External"/><Relationship Id="rIdmtwnzpshb5saa0ymizbvc" Type="http://schemas.openxmlformats.org/officeDocument/2006/relationships/hyperlink" Target="https://www.opentopodata.org/datasets/eudem/" TargetMode="External"/><Relationship Id="rId8o8ppsblsrddylhs7tbz6" Type="http://schemas.openxmlformats.org/officeDocument/2006/relationships/hyperlink" Target="https://redis.io/legal/licenses/" TargetMode="External"/><Relationship Id="rIdqmoecvoeqc5oy5f5ox0bn" Type="http://schemas.openxmlformats.org/officeDocument/2006/relationships/hyperlink" Target="https://hub.docker.com/_/redis" TargetMode="External"/><Relationship Id="rIddmtnx3nvhwy9ociljhyyu" Type="http://schemas.openxmlformats.org/officeDocument/2006/relationships/hyperlink" Target="https://github.com/graphhopper/graphhopper" TargetMode="External"/><Relationship Id="rIdfe6cup6hwkpsrbtnq17hx" Type="http://schemas.openxmlformats.org/officeDocument/2006/relationships/hyperlink" Target="https://www.postgresql.org/about/licence/" TargetMode="External"/><Relationship Id="rIdgz18ycdwdbumk8vaxabak" Type="http://schemas.openxmlformats.org/officeDocument/2006/relationships/hyperlink" Target="https://github.com/flutter/flutter/blob/master/LICENSE" TargetMode="External"/><Relationship Id="rIdahh0edm6d8xsb4hreycwm" Type="http://schemas.openxmlformats.org/officeDocument/2006/relationships/hyperlink" Target="https://github.com/github/mona-sans" TargetMode="External"/><Relationship Id="rIdzbvoaozpczbcapvgxlajc" Type="http://schemas.openxmlformats.org/officeDocument/2006/relationships/hyperlink" Target="https://github.com/ArtifexSoftware/urw-base35-fonts" TargetMode="External"/><Relationship Id="rIdshdek-3frwps1dceu_nve" Type="http://schemas.openxmlformats.org/officeDocument/2006/relationships/hyperlink" Target="https://github.com/inducer/pymetis" TargetMode="External"/><Relationship Id="rIdctxodktaxn_el8sqyhlup" Type="http://schemas.openxmlformats.org/officeDocument/2006/relationships/hyperlink" Target="https://github.com/Leaflet/Leaflet" TargetMode="External"/><Relationship Id="rIdrekpb74r9tc1dalzyvdj_" Type="http://schemas.openxmlformats.org/officeDocument/2006/relationships/hyperlink" Target="https://github.com/vercel/geist-font" TargetMode="External"/><Relationship Id="rIdgw04w4de6rh7goepwmmri" Type="http://schemas.openxmlformats.org/officeDocument/2006/relationships/hyperlink" Target="https://github.com/rsms/inter" TargetMode="External"/><Relationship Id="rIdwepmekmwnyz57socfhiu7" Type="http://schemas.openxmlformats.org/officeDocument/2006/relationships/hyperlink" Target="https://github.com/adobe-fonts/source-serif" TargetMode="External"/><Relationship Id="rId-qiy5apheqfk0rhrbvlcp" Type="http://schemas.openxmlformats.org/officeDocument/2006/relationships/hyperlink" Target="https://github.com/MScholtes/PS2EXE" TargetMode="External"/><Relationship Id="rId03vvm_lrglzbp83q_25z9" Type="http://schemas.openxmlformats.org/officeDocument/2006/relationships/hyperlink" Target="https://www.esri.com/en-us/legal/terms/web-site-service" TargetMode="External"/><Relationship Id="rIdahm9jz2drmrw75aartkil" Type="http://schemas.openxmlformats.org/officeDocument/2006/relationships/hyperlink" Target="https://api.github.com/orgs/MOTOMAP-A-S" TargetMode="External"/><Relationship Id="rIdvgj2foetx0xpoo-bsh_rl" Type="http://schemas.openxmlformats.org/officeDocument/2006/relationships/hyperlink" Target="https://motomap.co/kullanim-kosullari/" TargetMode="External"/><Relationship Id="rIdezubqt3qyfsaxj6gcphiz" Type="http://schemas.openxmlformats.org/officeDocument/2006/relationships/hyperlink" Target="https://app.motomap.co/assets/NOTICES" TargetMode="External"/><Relationship Id="rIdu1zsq3dplb95q1c7qqo9w" Type="http://schemas.openxmlformats.org/officeDocument/2006/relationships/hyperlink" Target="https://app.motomap.co/assets/assets/fonts/OFL-MotoMapSans.txt" TargetMode="External"/><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Ek-M Fikri Mülkiyet, Marka ve Lisans Paketi</dc:title>
  <dc:creator>MotoMap</dc:creator>
  <cp:lastModifiedBy>Un-named</cp:lastModifiedBy>
  <cp:revision>1</cp:revision>
  <dcterms:created xsi:type="dcterms:W3CDTF">2026-09-30T16:41:30.978Z</dcterms:created>
  <dcterms:modified xsi:type="dcterms:W3CDTF">2026-09-30T16:41:30.978Z</dcterms:modified>
</cp:coreProperties>
</file>

<file path=docProps/custom.xml><?xml version="1.0" encoding="utf-8"?>
<Properties xmlns="http://schemas.openxmlformats.org/officeDocument/2006/custom-properties" xmlns:vt="http://schemas.openxmlformats.org/officeDocument/2006/docPropsVTypes"/>
</file>