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595959"/>
          <w:sz w:val="22"/>
          <w:szCs w:val="22"/>
        </w:rPr>
        <w:t xml:space="preserve">Ek-D</w:t>
      </w:r>
    </w:p>
    <w:p>
      <w:pPr>
        <w:spacing w:after="50"/>
      </w:pPr>
      <w:r>
        <w:rPr>
          <w:rFonts w:ascii="Arial" w:cs="Arial" w:eastAsia="Arial" w:hAnsi="Arial"/>
          <w:b/>
          <w:bCs/>
          <w:sz w:val="34"/>
          <w:szCs w:val="34"/>
        </w:rPr>
        <w:t xml:space="preserve">Sayısal Fizibilite Özeti</w:t>
      </w:r>
    </w:p>
    <w:p>
      <w:pPr>
        <w:spacing w:after="120" w:before="0"/>
      </w:pPr>
      <w:r>
        <w:rPr>
          <w:rFonts w:ascii="Arial" w:cs="Arial" w:eastAsia="Arial" w:hAnsi="Arial"/>
          <w:color w:val="595959"/>
          <w:sz w:val="16"/>
          <w:szCs w:val="16"/>
        </w:rPr>
        <w:t xml:space="preserve">MotoMap · TÜBİTAK 1812 · AGY 112 İş Planı eki · Çağrı 1812-2026-2 · Düzenleme tarihi: 29.09.2026</w:t>
      </w:r>
    </w:p>
    <w:p>
      <w:pPr>
        <w:pStyle w:val="Heading1"/>
        <w:keepNext/>
        <w:spacing w:after="80" w:before="220"/>
      </w:pPr>
      <w:r>
        <w:rPr>
          <w:rFonts w:ascii="Arial" w:cs="Arial" w:eastAsia="Arial" w:hAnsi="Arial"/>
          <w:b/>
          <w:bCs/>
          <w:sz w:val="23"/>
          <w:szCs w:val="23"/>
        </w:rPr>
        <w:t xml:space="preserve">1. Kapsam ve okuma kılavuzu</w:t>
      </w:r>
    </w:p>
    <w:p>
      <w:pPr>
        <w:spacing w:after="70" w:before="0"/>
      </w:pPr>
      <w:r>
        <w:rPr>
          <w:rFonts w:ascii="Arial" w:cs="Arial" w:eastAsia="Arial" w:hAnsi="Arial"/>
          <w:sz w:val="17"/>
          <w:szCs w:val="17"/>
        </w:rPr>
        <w:t xml:space="preserve">Bu ek, İş Planı 2.3, 2.4, 4.1, 4.3, 4.4 ve 4.5’teki finansal ifadelerin dayandığı 78 aylık fizibilite modelinin özetidir: dönemlik tablolar, birim ekonomi, kaynaklı varsayımlar, Monte Carlo dağılımları, duyarlılık ve başa baş yolu. Hesaplayan model kodu ve testleri ayrı dosyalardır. İş Planı Tablo 4.4’teki (form) değerlerin model değerleriyle eşleştirmesi Tablo D-1b’dedir.</w:t>
      </w:r>
    </w:p>
    <w:p>
      <w:pPr>
        <w:spacing w:after="50" w:before="0"/>
      </w:pPr>
      <w:r>
        <w:rPr>
          <w:rFonts w:ascii="Arial" w:cs="Arial" w:eastAsia="Arial" w:hAnsi="Arial"/>
          <w:b/>
          <w:bCs/>
          <w:sz w:val="17"/>
          <w:szCs w:val="17"/>
        </w:rPr>
        <w:t xml:space="preserve">Ufuk ve birim. </w:t>
      </w:r>
      <w:r>
        <w:rPr>
          <w:rFonts w:ascii="Arial" w:cs="Arial" w:eastAsia="Arial" w:hAnsi="Arial"/>
          <w:sz w:val="17"/>
          <w:szCs w:val="17"/>
        </w:rPr>
        <w:t xml:space="preserve">78 ay = proje (Ay 1–18; 01.01.2027–30.06.2028) + izleyen beş yıl (Temmuz 2028–Haziran 2033). Tutarlar TL, KDV hariç, 2026 fiyatlarıyladır.</w:t>
      </w:r>
    </w:p>
    <w:p>
      <w:pPr>
        <w:spacing w:after="50" w:before="0"/>
      </w:pPr>
      <w:r>
        <w:rPr>
          <w:rFonts w:ascii="Arial" w:cs="Arial" w:eastAsia="Arial" w:hAnsi="Arial"/>
          <w:b/>
          <w:bCs/>
          <w:sz w:val="17"/>
          <w:szCs w:val="17"/>
        </w:rPr>
        <w:t xml:space="preserve">Etiketler. </w:t>
      </w:r>
      <w:r>
        <w:rPr>
          <w:rFonts w:ascii="Arial" w:cs="Arial" w:eastAsia="Arial" w:hAnsi="Arial"/>
          <w:sz w:val="17"/>
          <w:szCs w:val="17"/>
        </w:rPr>
        <w:t xml:space="preserve">M: model çıktısı (bu ekteki modelin değeri; İş Planı Tablo 4.4 ile farkı Tablo D-1b’de gösterilmiştir). H: hesap — bu ekteki başka değerlerden gösterilen formülle türetilmiştir. V: varsayım veya kalibrasyon parametresi; ölçülmüş değildir. K: dış kaynak veya mağaza kuralı.</w:t>
      </w:r>
    </w:p>
    <w:p>
      <w:pPr>
        <w:spacing w:after="50" w:before="0"/>
      </w:pPr>
      <w:r>
        <w:rPr>
          <w:rFonts w:ascii="Arial" w:cs="Arial" w:eastAsia="Arial" w:hAnsi="Arial"/>
          <w:b/>
          <w:bCs/>
          <w:sz w:val="17"/>
          <w:szCs w:val="17"/>
        </w:rPr>
        <w:t xml:space="preserve">Dürüstlük ilkesi. </w:t>
      </w:r>
      <w:r>
        <w:rPr>
          <w:rFonts w:ascii="Arial" w:cs="Arial" w:eastAsia="Arial" w:hAnsi="Arial"/>
          <w:sz w:val="17"/>
          <w:szCs w:val="17"/>
        </w:rPr>
        <w:t xml:space="preserve">MotoMap’in henüz canlı abonelik, reklam veya kohort verisi yoktur; bu nedenle gelir tarafındaki değerlerin çoğu V etiketlidir ve ölçülene kadar model varsayımı olarak sunulur.</w:t>
      </w:r>
    </w:p>
    <w:p>
      <w:pPr>
        <w:pStyle w:val="Heading1"/>
        <w:keepNext/>
        <w:spacing w:after="80" w:before="220"/>
      </w:pPr>
      <w:r>
        <w:rPr>
          <w:rFonts w:ascii="Arial" w:cs="Arial" w:eastAsia="Arial" w:hAnsi="Arial"/>
          <w:b/>
          <w:bCs/>
          <w:sz w:val="23"/>
          <w:szCs w:val="23"/>
        </w:rPr>
        <w:t xml:space="preserve">2. Taban senaryo özeti</w:t>
      </w:r>
    </w:p>
    <w:p>
      <w:pPr>
        <w:keepNext/>
        <w:spacing w:after="50" w:before="140"/>
      </w:pPr>
      <w:r>
        <w:rPr>
          <w:rFonts w:ascii="Arial" w:cs="Arial" w:eastAsia="Arial" w:hAnsi="Arial"/>
          <w:b/>
          <w:bCs/>
          <w:i/>
          <w:iCs/>
          <w:sz w:val="18"/>
          <w:szCs w:val="18"/>
        </w:rPr>
        <w:t xml:space="preserve">Tablo D-1 — 78 aylık toplamlar (TL)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1100"/>
        <w:gridCol w:w="3206"/>
      </w:tblGrid>
      <w:tr>
        <w:trPr>
          <w:cantSplit/>
          <w:tblHeader/>
        </w:trPr>
        <w:tc>
          <w:tcPr>
            <w:tcW w:type="dxa" w:w="39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Kalem (78 ay toplamı)</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Tutar (TL)</w:t>
            </w:r>
          </w:p>
        </w:tc>
        <w:tc>
          <w:tcPr>
            <w:tcW w:type="dxa" w:w="11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Etiket</w:t>
            </w:r>
          </w:p>
        </w:tc>
        <w:tc>
          <w:tcPr>
            <w:tcW w:type="dxa" w:w="3206"/>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Açıklama</w:t>
            </w:r>
          </w:p>
        </w:tc>
      </w:tr>
      <w:tr>
        <w:trPr>
          <w:cantSplit/>
        </w:trPr>
        <w:tc>
          <w:tcPr>
            <w:tcW w:type="dxa" w:w="39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Brüt satış hasılatı (bireysel + filo + reklam)</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9.299.234</w:t>
            </w:r>
          </w:p>
        </w:tc>
        <w:tc>
          <w:tcPr>
            <w:tcW w:type="dxa" w:w="1100"/>
            <w:tcBorders>
              <w:top w:val="single" w:color="808080" w:sz="4"/>
              <w:left w:val="single" w:color="808080" w:sz="4"/>
              <w:bottom w:val="single" w:color="808080" w:sz="4"/>
              <w:right w:val="single" w:color="808080" w:sz="4"/>
            </w:tcBorders>
            <w:shd w:fill="E2EFDA"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M</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Bireysel + filo + reklam</w:t>
            </w:r>
          </w:p>
        </w:tc>
      </w:tr>
      <w:tr>
        <w:trPr>
          <w:cantSplit/>
        </w:trPr>
        <w:tc>
          <w:tcPr>
            <w:tcW w:type="dxa" w:w="39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Bireysel (Gold + Platinum) brüt</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5.168.915</w:t>
            </w:r>
          </w:p>
        </w:tc>
        <w:tc>
          <w:tcPr>
            <w:tcW w:type="dxa" w:w="1100"/>
            <w:tcBorders>
              <w:top w:val="single" w:color="808080" w:sz="4"/>
              <w:left w:val="single" w:color="808080" w:sz="4"/>
              <w:bottom w:val="single" w:color="808080" w:sz="4"/>
              <w:right w:val="single" w:color="808080" w:sz="4"/>
            </w:tcBorders>
            <w:shd w:fill="E2EFDA"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M</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%55,6</w:t>
            </w:r>
          </w:p>
        </w:tc>
      </w:tr>
      <w:tr>
        <w:trPr>
          <w:cantSplit/>
        </w:trPr>
        <w:tc>
          <w:tcPr>
            <w:tcW w:type="dxa" w:w="39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Filo brüt</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2.593.125</w:t>
            </w:r>
          </w:p>
        </w:tc>
        <w:tc>
          <w:tcPr>
            <w:tcW w:type="dxa" w:w="1100"/>
            <w:tcBorders>
              <w:top w:val="single" w:color="808080" w:sz="4"/>
              <w:left w:val="single" w:color="808080" w:sz="4"/>
              <w:bottom w:val="single" w:color="808080" w:sz="4"/>
              <w:right w:val="single" w:color="808080" w:sz="4"/>
            </w:tcBorders>
            <w:shd w:fill="E2EFDA"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M</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%27,9</w:t>
            </w:r>
          </w:p>
        </w:tc>
      </w:tr>
      <w:tr>
        <w:trPr>
          <w:cantSplit/>
        </w:trPr>
        <w:tc>
          <w:tcPr>
            <w:tcW w:type="dxa" w:w="39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Silver reklam brüt</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1.537.194</w:t>
            </w:r>
          </w:p>
        </w:tc>
        <w:tc>
          <w:tcPr>
            <w:tcW w:type="dxa" w:w="1100"/>
            <w:tcBorders>
              <w:top w:val="single" w:color="808080" w:sz="4"/>
              <w:left w:val="single" w:color="808080" w:sz="4"/>
              <w:bottom w:val="single" w:color="808080" w:sz="4"/>
              <w:right w:val="single" w:color="808080" w:sz="4"/>
            </w:tcBorders>
            <w:shd w:fill="E2EFDA"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M</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%16,5 (varsayım etiketli)</w:t>
            </w:r>
          </w:p>
        </w:tc>
      </w:tr>
      <w:tr>
        <w:trPr>
          <w:cantSplit/>
        </w:trPr>
        <w:tc>
          <w:tcPr>
            <w:tcW w:type="dxa" w:w="39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Mağaza komisyonu (%15; yalnız bireysel gelire)</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775.337</w:t>
            </w:r>
          </w:p>
        </w:tc>
        <w:tc>
          <w:tcPr>
            <w:tcW w:type="dxa" w:w="1100"/>
            <w:tcBorders>
              <w:top w:val="single" w:color="808080" w:sz="4"/>
              <w:left w:val="single" w:color="808080" w:sz="4"/>
              <w:bottom w:val="single" w:color="808080" w:sz="4"/>
              <w:right w:val="single" w:color="808080" w:sz="4"/>
            </w:tcBorders>
            <w:shd w:fill="DDEBF7"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H</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0,15 × 5.168.915</w:t>
            </w:r>
          </w:p>
        </w:tc>
      </w:tr>
      <w:tr>
        <w:trPr>
          <w:cantSplit/>
        </w:trPr>
        <w:tc>
          <w:tcPr>
            <w:tcW w:type="dxa" w:w="39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Net gelir</w:t>
            </w:r>
          </w:p>
        </w:tc>
        <w:tc>
          <w:tcPr>
            <w:tcW w:type="dxa" w:w="17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8.523.897</w:t>
            </w:r>
          </w:p>
        </w:tc>
        <w:tc>
          <w:tcPr>
            <w:tcW w:type="dxa" w:w="1100"/>
            <w:tcBorders>
              <w:top w:val="single" w:color="808080" w:sz="4"/>
              <w:left w:val="single" w:color="808080" w:sz="4"/>
              <w:bottom w:val="single" w:color="808080" w:sz="4"/>
              <w:right w:val="single" w:color="808080" w:sz="4"/>
            </w:tcBorders>
            <w:shd w:fill="E2EFDA"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M</w:t>
            </w:r>
          </w:p>
        </w:tc>
        <w:tc>
          <w:tcPr>
            <w:tcW w:type="dxa" w:w="320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Brüt − komisyon</w:t>
            </w:r>
          </w:p>
        </w:tc>
      </w:tr>
      <w:tr>
        <w:trPr>
          <w:cantSplit/>
        </w:trPr>
        <w:tc>
          <w:tcPr>
            <w:tcW w:type="dxa" w:w="39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Değişken teknik maliyet</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2.552.351</w:t>
            </w:r>
          </w:p>
        </w:tc>
        <w:tc>
          <w:tcPr>
            <w:tcW w:type="dxa" w:w="1100"/>
            <w:tcBorders>
              <w:top w:val="single" w:color="808080" w:sz="4"/>
              <w:left w:val="single" w:color="808080" w:sz="4"/>
              <w:bottom w:val="single" w:color="808080" w:sz="4"/>
              <w:right w:val="single" w:color="808080" w:sz="4"/>
            </w:tcBorders>
            <w:shd w:fill="DDEBF7"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H</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Net gelir − katkı payı (mutabakat: Tablo D-4)</w:t>
            </w:r>
          </w:p>
        </w:tc>
      </w:tr>
      <w:tr>
        <w:trPr>
          <w:cantSplit/>
        </w:trPr>
        <w:tc>
          <w:tcPr>
            <w:tcW w:type="dxa" w:w="39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Katkı payı</w:t>
            </w:r>
          </w:p>
        </w:tc>
        <w:tc>
          <w:tcPr>
            <w:tcW w:type="dxa" w:w="17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5.971.546</w:t>
            </w:r>
          </w:p>
        </w:tc>
        <w:tc>
          <w:tcPr>
            <w:tcW w:type="dxa" w:w="1100"/>
            <w:tcBorders>
              <w:top w:val="single" w:color="808080" w:sz="4"/>
              <w:left w:val="single" w:color="808080" w:sz="4"/>
              <w:bottom w:val="single" w:color="808080" w:sz="4"/>
              <w:right w:val="single" w:color="808080" w:sz="4"/>
            </w:tcBorders>
            <w:shd w:fill="E2EFDA"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M</w:t>
            </w:r>
          </w:p>
        </w:tc>
        <w:tc>
          <w:tcPr>
            <w:tcW w:type="dxa" w:w="320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Net gelir − değişken teknik maliyet</w:t>
            </w:r>
          </w:p>
        </w:tc>
      </w:tr>
      <w:tr>
        <w:trPr>
          <w:cantSplit/>
        </w:trPr>
        <w:tc>
          <w:tcPr>
            <w:tcW w:type="dxa" w:w="39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Sabit gider (78 ay)</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15.352.377</w:t>
            </w:r>
          </w:p>
        </w:tc>
        <w:tc>
          <w:tcPr>
            <w:tcW w:type="dxa" w:w="1100"/>
            <w:tcBorders>
              <w:top w:val="single" w:color="808080" w:sz="4"/>
              <w:left w:val="single" w:color="808080" w:sz="4"/>
              <w:bottom w:val="single" w:color="808080" w:sz="4"/>
              <w:right w:val="single" w:color="808080" w:sz="4"/>
            </w:tcBorders>
            <w:shd w:fill="E2EFDA"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M</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Aylara eşit dağıtılmıştır (aylık ≈196.825 TL)</w:t>
            </w:r>
          </w:p>
        </w:tc>
      </w:tr>
      <w:tr>
        <w:trPr>
          <w:cantSplit/>
        </w:trPr>
        <w:tc>
          <w:tcPr>
            <w:tcW w:type="dxa" w:w="39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Faaliyet nakit akışı (78 ay toplamı)</w:t>
            </w:r>
          </w:p>
        </w:tc>
        <w:tc>
          <w:tcPr>
            <w:tcW w:type="dxa" w:w="17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−9.380.831</w:t>
            </w:r>
          </w:p>
        </w:tc>
        <w:tc>
          <w:tcPr>
            <w:tcW w:type="dxa" w:w="1100"/>
            <w:tcBorders>
              <w:top w:val="single" w:color="808080" w:sz="4"/>
              <w:left w:val="single" w:color="808080" w:sz="4"/>
              <w:bottom w:val="single" w:color="808080" w:sz="4"/>
              <w:right w:val="single" w:color="808080" w:sz="4"/>
            </w:tcBorders>
            <w:shd w:fill="DDEBF7"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H</w:t>
            </w:r>
          </w:p>
        </w:tc>
        <w:tc>
          <w:tcPr>
            <w:tcW w:type="dxa" w:w="320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Katkı payı − sabit gider</w:t>
            </w:r>
          </w:p>
        </w:tc>
      </w:tr>
    </w:tbl>
    <w:p>
      <w:pPr>
        <w:spacing w:after="90" w:before="30"/>
      </w:pPr>
      <w:r>
        <w:rPr>
          <w:rFonts w:ascii="Arial" w:cs="Arial" w:eastAsia="Arial" w:hAnsi="Arial"/>
          <w:i/>
          <w:iCs/>
          <w:color w:val="595959"/>
          <w:sz w:val="14"/>
          <w:szCs w:val="14"/>
        </w:rPr>
        <w:t xml:space="preserve">M değerleri modelin çıktısıdır. Yüzdeler bileşenlerin brüt içindeki paylarıdır. İş Planı Tablo 4.4-1’de satış geliri, formun gerektirdiği gibi adet × iki ondalıklı birim fiyat olarak yazıldığından model değerinden 58,63 TL farklıdır (Tablo D-1b).</w:t>
      </w:r>
    </w:p>
    <w:p>
      <w:pPr>
        <w:keepNext/>
        <w:spacing w:after="50" w:before="140"/>
      </w:pPr>
      <w:r>
        <w:rPr>
          <w:rFonts w:ascii="Arial" w:cs="Arial" w:eastAsia="Arial" w:hAnsi="Arial"/>
          <w:b/>
          <w:bCs/>
          <w:i/>
          <w:iCs/>
          <w:sz w:val="18"/>
          <w:szCs w:val="18"/>
        </w:rPr>
        <w:t xml:space="preserve">Tablo D-1b — İş Planı Tablo 4.4 (form) ile model eşleştirmesi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3856"/>
        <w:gridCol w:w="16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İş Planı satırı</w:t>
            </w:r>
          </w:p>
        </w:tc>
        <w:tc>
          <w:tcPr>
            <w:tcW w:type="dxa" w:w="175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Form değeri</w:t>
            </w:r>
          </w:p>
        </w:tc>
        <w:tc>
          <w:tcPr>
            <w:tcW w:type="dxa" w:w="3856"/>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Model değeri / türetme</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Fark (form − model)</w:t>
            </w:r>
          </w:p>
        </w:tc>
      </w:tr>
      <w:tr>
        <w:trPr>
          <w:cantSplit/>
        </w:trPr>
        <w:tc>
          <w:tcPr>
            <w:tcW w:type="dxa" w:w="27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pPr>
            <w:r>
              <w:rPr>
                <w:rFonts w:ascii="Arial" w:cs="Arial" w:eastAsia="Arial" w:hAnsi="Arial"/>
                <w:b/>
                <w:bCs/>
                <w:sz w:val="15"/>
                <w:szCs w:val="15"/>
              </w:rPr>
              <w:t xml:space="preserve">Tablo 4.4-1 Gelirler</w:t>
            </w:r>
          </w:p>
        </w:tc>
        <w:tc>
          <w:tcPr>
            <w:tcW w:type="dxa" w:w="175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jc w:val="right"/>
            </w:pPr>
            <w:r>
              <w:rPr>
                <w:rFonts w:ascii="Arial" w:cs="Arial" w:eastAsia="Arial" w:hAnsi="Arial"/>
                <w:b/>
                <w:bCs/>
                <w:sz w:val="15"/>
                <w:szCs w:val="15"/>
              </w:rPr>
              <w:t xml:space="preserve"/>
            </w:r>
          </w:p>
        </w:tc>
        <w:tc>
          <w:tcPr>
            <w:tcW w:type="dxa" w:w="385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pPr>
            <w:r>
              <w:rPr>
                <w:rFonts w:ascii="Arial" w:cs="Arial" w:eastAsia="Arial" w:hAnsi="Arial"/>
                <w:b/>
                <w:bCs/>
                <w:sz w:val="15"/>
                <w:szCs w:val="15"/>
              </w:rPr>
              <w:t xml:space="preserve"/>
            </w:r>
          </w:p>
        </w:tc>
        <w:tc>
          <w:tcPr>
            <w:tcW w:type="dxa" w:w="16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jc w:val="right"/>
            </w:pPr>
            <w:r>
              <w:rPr>
                <w:rFonts w:ascii="Arial" w:cs="Arial" w:eastAsia="Arial" w:hAnsi="Arial"/>
                <w:b/>
                <w:bCs/>
                <w:sz w:val="15"/>
                <w:szCs w:val="15"/>
              </w:rPr>
              <w:t xml:space="preserve"/>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Satılan ürün adedi</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57.683</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57.683 kullanıcı-ay (M)</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Birim satış fiyatı (TL)</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89,61</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89,6090 = 5.168.915 ÷ 57.683 (H)</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+0,0010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Satış gelirleri (TL)</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5.168.973,63</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5.168.915 (M)</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+58,63</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Diğer gelirler (TL)</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4.130.319,00</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2.593.125 + 1.537.194 = 4.130.319 (M)</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Toplam gelirler (TL)</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9.299.292,63</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9.299.234 (M)</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+58,63</w:t>
            </w:r>
          </w:p>
        </w:tc>
      </w:tr>
      <w:tr>
        <w:trPr>
          <w:cantSplit/>
        </w:trPr>
        <w:tc>
          <w:tcPr>
            <w:tcW w:type="dxa" w:w="27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pPr>
            <w:r>
              <w:rPr>
                <w:rFonts w:ascii="Arial" w:cs="Arial" w:eastAsia="Arial" w:hAnsi="Arial"/>
                <w:b/>
                <w:bCs/>
                <w:sz w:val="15"/>
                <w:szCs w:val="15"/>
              </w:rPr>
              <w:t xml:space="preserve">Tablo 4.4-2 Değişken maliyetler (TL/kullanıcı-ay)</w:t>
            </w:r>
          </w:p>
        </w:tc>
        <w:tc>
          <w:tcPr>
            <w:tcW w:type="dxa" w:w="175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jc w:val="right"/>
            </w:pPr>
            <w:r>
              <w:rPr>
                <w:rFonts w:ascii="Arial" w:cs="Arial" w:eastAsia="Arial" w:hAnsi="Arial"/>
                <w:b/>
                <w:bCs/>
                <w:sz w:val="15"/>
                <w:szCs w:val="15"/>
              </w:rPr>
              <w:t xml:space="preserve"/>
            </w:r>
          </w:p>
        </w:tc>
        <w:tc>
          <w:tcPr>
            <w:tcW w:type="dxa" w:w="385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pPr>
            <w:r>
              <w:rPr>
                <w:rFonts w:ascii="Arial" w:cs="Arial" w:eastAsia="Arial" w:hAnsi="Arial"/>
                <w:b/>
                <w:bCs/>
                <w:sz w:val="15"/>
                <w:szCs w:val="15"/>
              </w:rPr>
              <w:t xml:space="preserve"/>
            </w:r>
          </w:p>
        </w:tc>
        <w:tc>
          <w:tcPr>
            <w:tcW w:type="dxa" w:w="16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jc w:val="right"/>
            </w:pPr>
            <w:r>
              <w:rPr>
                <w:rFonts w:ascii="Arial" w:cs="Arial" w:eastAsia="Arial" w:hAnsi="Arial"/>
                <w:b/>
                <w:bCs/>
                <w:sz w:val="15"/>
                <w:szCs w:val="15"/>
              </w:rPr>
              <w:t xml:space="preserve"/>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Personel, malzeme, enerji</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0,00</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Yok; personel sabit giderdir</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Dağıtım (mağaza/ödeme komisyonu)</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13,44</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13,4413 = 0,15 × 89,6090 (H)</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−0,0013</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Diğer değişken (teknik-servis)</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14,67</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14,67 (V)</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Birim ürün maliyeti</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28,11</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28,1113 (H)</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−0,0013</w:t>
            </w:r>
          </w:p>
        </w:tc>
      </w:tr>
      <w:tr>
        <w:trPr>
          <w:cantSplit/>
        </w:trPr>
        <w:tc>
          <w:tcPr>
            <w:tcW w:type="dxa" w:w="27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pPr>
            <w:r>
              <w:rPr>
                <w:rFonts w:ascii="Arial" w:cs="Arial" w:eastAsia="Arial" w:hAnsi="Arial"/>
                <w:b/>
                <w:bCs/>
                <w:sz w:val="15"/>
                <w:szCs w:val="15"/>
              </w:rPr>
              <w:t xml:space="preserve">Tablo 4.4-3 Sabit maliyetler (TL, 78 ay)</w:t>
            </w:r>
          </w:p>
        </w:tc>
        <w:tc>
          <w:tcPr>
            <w:tcW w:type="dxa" w:w="175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jc w:val="right"/>
            </w:pPr>
            <w:r>
              <w:rPr>
                <w:rFonts w:ascii="Arial" w:cs="Arial" w:eastAsia="Arial" w:hAnsi="Arial"/>
                <w:b/>
                <w:bCs/>
                <w:sz w:val="15"/>
                <w:szCs w:val="15"/>
              </w:rPr>
              <w:t xml:space="preserve"/>
            </w:r>
          </w:p>
        </w:tc>
        <w:tc>
          <w:tcPr>
            <w:tcW w:type="dxa" w:w="385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pPr>
            <w:r>
              <w:rPr>
                <w:rFonts w:ascii="Arial" w:cs="Arial" w:eastAsia="Arial" w:hAnsi="Arial"/>
                <w:b/>
                <w:bCs/>
                <w:sz w:val="15"/>
                <w:szCs w:val="15"/>
              </w:rPr>
              <w:t xml:space="preserve"/>
            </w:r>
          </w:p>
        </w:tc>
        <w:tc>
          <w:tcPr>
            <w:tcW w:type="dxa" w:w="16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jc w:val="right"/>
            </w:pPr>
            <w:r>
              <w:rPr>
                <w:rFonts w:ascii="Arial" w:cs="Arial" w:eastAsia="Arial" w:hAnsi="Arial"/>
                <w:b/>
                <w:bCs/>
                <w:sz w:val="15"/>
                <w:szCs w:val="15"/>
              </w:rPr>
              <w:t xml:space="preserve"/>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Makine ve teçhizat yatırımları</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75.000,00</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75 bin TL, plandaki yuvarlak değer (V)</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Bina amortisman giderleri</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0,00</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Yok</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Kira giderleri</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760.000,00</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0,76M TL ofis ve sunucu kirası, plandaki yuvarlak değer (V)</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Diğer sabit maliyetler</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14.517.377,00</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15.352.377 − 75.000 − 760.000 (artık). Yuvarlak alt kalemler: personel+SGK 9,53M + genel yönetim ve danışmanlık 2,18M + canlı trafik lisansı 1,62M + pazarlama ve filo kurulumu 1,19M ≈ 14,52M</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Toplam sabit maliyet</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15.352.377,00</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15.352.377 (M)</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w:t>
            </w:r>
          </w:p>
        </w:tc>
      </w:tr>
      <w:tr>
        <w:trPr>
          <w:cantSplit/>
        </w:trPr>
        <w:tc>
          <w:tcPr>
            <w:tcW w:type="dxa" w:w="27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pPr>
            <w:r>
              <w:rPr>
                <w:rFonts w:ascii="Arial" w:cs="Arial" w:eastAsia="Arial" w:hAnsi="Arial"/>
                <w:b/>
                <w:bCs/>
                <w:sz w:val="15"/>
                <w:szCs w:val="15"/>
              </w:rPr>
              <w:t xml:space="preserve">Tablo 4.4-4 Başa baş analizi</w:t>
            </w:r>
          </w:p>
        </w:tc>
        <w:tc>
          <w:tcPr>
            <w:tcW w:type="dxa" w:w="175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jc w:val="right"/>
            </w:pPr>
            <w:r>
              <w:rPr>
                <w:rFonts w:ascii="Arial" w:cs="Arial" w:eastAsia="Arial" w:hAnsi="Arial"/>
                <w:b/>
                <w:bCs/>
                <w:sz w:val="15"/>
                <w:szCs w:val="15"/>
              </w:rPr>
              <w:t xml:space="preserve"/>
            </w:r>
          </w:p>
        </w:tc>
        <w:tc>
          <w:tcPr>
            <w:tcW w:type="dxa" w:w="385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pPr>
            <w:r>
              <w:rPr>
                <w:rFonts w:ascii="Arial" w:cs="Arial" w:eastAsia="Arial" w:hAnsi="Arial"/>
                <w:b/>
                <w:bCs/>
                <w:sz w:val="15"/>
                <w:szCs w:val="15"/>
              </w:rPr>
              <w:t xml:space="preserve"/>
            </w:r>
          </w:p>
        </w:tc>
        <w:tc>
          <w:tcPr>
            <w:tcW w:type="dxa" w:w="16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spacing w:after="20"/>
              <w:jc w:val="right"/>
            </w:pPr>
            <w:r>
              <w:rPr>
                <w:rFonts w:ascii="Arial" w:cs="Arial" w:eastAsia="Arial" w:hAnsi="Arial"/>
                <w:b/>
                <w:bCs/>
                <w:sz w:val="15"/>
                <w:szCs w:val="15"/>
              </w:rPr>
              <w:t xml:space="preserve"/>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Kar marjı (TL)</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61,50</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61,4976 = 89,6090 − 28,1113 (H)</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+0,0024</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Başa baş noktası (kullanıcı-ay)</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249.632,15</w:t>
            </w:r>
          </w:p>
        </w:tc>
        <w:tc>
          <w:tcPr>
            <w:tcW w:type="dxa" w:w="38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15.352.377 ÷ 61,4976 = 249.641,7 (H)</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−9,60</w:t>
            </w:r>
          </w:p>
        </w:tc>
      </w:tr>
    </w:tbl>
    <w:p>
      <w:pPr>
        <w:spacing w:after="90" w:before="30"/>
      </w:pPr>
      <w:r>
        <w:rPr>
          <w:rFonts w:ascii="Arial" w:cs="Arial" w:eastAsia="Arial" w:hAnsi="Arial"/>
          <w:i/>
          <w:iCs/>
          <w:color w:val="595959"/>
          <w:sz w:val="14"/>
          <w:szCs w:val="14"/>
        </w:rPr>
        <w:t xml:space="preserve">Form, satış gelirini adet × birim fiyat olarak hesaplar ve birim fiyatı iki ondalıkla gösterir. Ortalama net fiyat (89,6090 TL) iki ondalığa yuvarlandığı için Tablo 4.4-1’deki satış geliri ve toplam gelir modelden 58,63 TL (%0,0006) fazladır; bu, yuvarlama farkıdır ve hiçbir hesaba katılmaz. Tablo 4.4-3’te “Diğer sabit maliyetler”, toplam sabit gider ile teçhizat ve kira arasındaki artıktır; kira ve teçhizat plandaki yuvarlak değerlerdir. Başa baş noktası formda yuvarlanmış kar marjıyla (61,50) hesaplanır.</w:t>
      </w:r>
    </w:p>
    <w:p>
      <w:pPr>
        <w:keepNext/>
        <w:spacing w:after="50" w:before="140"/>
      </w:pPr>
      <w:r>
        <w:rPr>
          <w:rFonts w:ascii="Arial" w:cs="Arial" w:eastAsia="Arial" w:hAnsi="Arial"/>
          <w:b/>
          <w:bCs/>
          <w:i/>
          <w:iCs/>
          <w:sz w:val="18"/>
          <w:szCs w:val="18"/>
        </w:rPr>
        <w:t xml:space="preserve">Tablo D-2 — Dönemlik kırılım ve başa baş yolu (taban senaryo, TL)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0"/>
        <w:gridCol w:w="1050"/>
        <w:gridCol w:w="1300"/>
        <w:gridCol w:w="1250"/>
        <w:gridCol w:w="1400"/>
        <w:gridCol w:w="1500"/>
        <w:gridCol w:w="1456"/>
      </w:tblGrid>
      <w:tr>
        <w:trPr>
          <w:cantSplit/>
          <w:tblHeader/>
        </w:trPr>
        <w:tc>
          <w:tcPr>
            <w:tcW w:type="dxa" w:w="195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Dönem</w:t>
            </w:r>
          </w:p>
        </w:tc>
        <w:tc>
          <w:tcPr>
            <w:tcW w:type="dxa" w:w="105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Ort. Silver MAU</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Net gelir</w:t>
            </w:r>
          </w:p>
        </w:tc>
        <w:tc>
          <w:tcPr>
            <w:tcW w:type="dxa" w:w="125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Katkı payı</w:t>
            </w:r>
          </w:p>
        </w:tc>
        <w:tc>
          <w:tcPr>
            <w:tcW w:type="dxa" w:w="14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Sabit gider</w:t>
            </w:r>
          </w:p>
        </w:tc>
        <w:tc>
          <w:tcPr>
            <w:tcW w:type="dxa" w:w="15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Faaliyet nakit akışı</w:t>
            </w:r>
          </w:p>
        </w:tc>
        <w:tc>
          <w:tcPr>
            <w:tcW w:type="dxa" w:w="1456"/>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Kümülatif</w:t>
            </w:r>
          </w:p>
        </w:tc>
      </w:tr>
      <w:tr>
        <w:trPr>
          <w:cantSplit/>
        </w:trPr>
        <w:tc>
          <w:tcPr>
            <w:tcW w:type="dxa" w:w="19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Proje (Ay 1–18)</w:t>
            </w:r>
          </w:p>
        </w:tc>
        <w:tc>
          <w:tcPr>
            <w:tcW w:type="dxa" w:w="10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568</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128.466</w:t>
            </w:r>
          </w:p>
        </w:tc>
        <w:tc>
          <w:tcPr>
            <w:tcW w:type="dxa" w:w="12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95.247</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3.542.856</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−3.447.609</w:t>
            </w:r>
          </w:p>
        </w:tc>
        <w:tc>
          <w:tcPr>
            <w:tcW w:type="dxa" w:w="14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−3.447.609</w:t>
            </w:r>
          </w:p>
        </w:tc>
      </w:tr>
      <w:tr>
        <w:trPr>
          <w:cantSplit/>
        </w:trPr>
        <w:tc>
          <w:tcPr>
            <w:tcW w:type="dxa" w:w="19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Yıl 1 (Ay 19–30)</w:t>
            </w:r>
          </w:p>
        </w:tc>
        <w:tc>
          <w:tcPr>
            <w:tcW w:type="dxa" w:w="10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2.504</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343.083</w:t>
            </w:r>
          </w:p>
        </w:tc>
        <w:tc>
          <w:tcPr>
            <w:tcW w:type="dxa" w:w="12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250.154</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2.361.904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−2.111.750</w:t>
            </w:r>
          </w:p>
        </w:tc>
        <w:tc>
          <w:tcPr>
            <w:tcW w:type="dxa" w:w="14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−5.559.359</w:t>
            </w:r>
          </w:p>
        </w:tc>
      </w:tr>
      <w:tr>
        <w:trPr>
          <w:cantSplit/>
        </w:trPr>
        <w:tc>
          <w:tcPr>
            <w:tcW w:type="dxa" w:w="19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Yıl 2 (Ay 31–42)</w:t>
            </w:r>
          </w:p>
        </w:tc>
        <w:tc>
          <w:tcPr>
            <w:tcW w:type="dxa" w:w="10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7.372</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916.436</w:t>
            </w:r>
          </w:p>
        </w:tc>
        <w:tc>
          <w:tcPr>
            <w:tcW w:type="dxa" w:w="12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655.502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2.361.904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−1.706.402</w:t>
            </w:r>
          </w:p>
        </w:tc>
        <w:tc>
          <w:tcPr>
            <w:tcW w:type="dxa" w:w="14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−7.265.762</w:t>
            </w:r>
          </w:p>
        </w:tc>
      </w:tr>
      <w:tr>
        <w:trPr>
          <w:cantSplit/>
        </w:trPr>
        <w:tc>
          <w:tcPr>
            <w:tcW w:type="dxa" w:w="19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Yıl 3 (Ay 43–54)</w:t>
            </w:r>
          </w:p>
        </w:tc>
        <w:tc>
          <w:tcPr>
            <w:tcW w:type="dxa" w:w="10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15.647</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1.794.218</w:t>
            </w:r>
          </w:p>
        </w:tc>
        <w:tc>
          <w:tcPr>
            <w:tcW w:type="dxa" w:w="12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1.260.782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2.361.904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−1.101.122</w:t>
            </w:r>
          </w:p>
        </w:tc>
        <w:tc>
          <w:tcPr>
            <w:tcW w:type="dxa" w:w="14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−8.366.884</w:t>
            </w:r>
          </w:p>
        </w:tc>
      </w:tr>
      <w:tr>
        <w:trPr>
          <w:cantSplit/>
        </w:trPr>
        <w:tc>
          <w:tcPr>
            <w:tcW w:type="dxa" w:w="19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Yıl 4 (Ay 55–66)</w:t>
            </w:r>
          </w:p>
        </w:tc>
        <w:tc>
          <w:tcPr>
            <w:tcW w:type="dxa" w:w="10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22.799</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2.507.426</w:t>
            </w:r>
          </w:p>
        </w:tc>
        <w:tc>
          <w:tcPr>
            <w:tcW w:type="dxa" w:w="12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1.744.613</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2.361.904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−617.291</w:t>
            </w:r>
          </w:p>
        </w:tc>
        <w:tc>
          <w:tcPr>
            <w:tcW w:type="dxa" w:w="14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−8.984.175</w:t>
            </w:r>
          </w:p>
        </w:tc>
      </w:tr>
      <w:tr>
        <w:trPr>
          <w:cantSplit/>
        </w:trPr>
        <w:tc>
          <w:tcPr>
            <w:tcW w:type="dxa" w:w="19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Yıl 5 (Ay 67–78)</w:t>
            </w:r>
          </w:p>
        </w:tc>
        <w:tc>
          <w:tcPr>
            <w:tcW w:type="dxa" w:w="10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26.135</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2.834.267</w:t>
            </w:r>
          </w:p>
        </w:tc>
        <w:tc>
          <w:tcPr>
            <w:tcW w:type="dxa" w:w="12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1.965.248</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2.361.904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−396.656</w:t>
            </w:r>
          </w:p>
        </w:tc>
        <w:tc>
          <w:tcPr>
            <w:tcW w:type="dxa" w:w="14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−9.380.831</w:t>
            </w:r>
          </w:p>
        </w:tc>
      </w:tr>
      <w:tr>
        <w:trPr>
          <w:cantSplit/>
        </w:trPr>
        <w:tc>
          <w:tcPr>
            <w:tcW w:type="dxa" w:w="195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78 ay toplamı</w:t>
            </w:r>
          </w:p>
        </w:tc>
        <w:tc>
          <w:tcPr>
            <w:tcW w:type="dxa" w:w="105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
            </w:r>
          </w:p>
        </w:tc>
        <w:tc>
          <w:tcPr>
            <w:tcW w:type="dxa" w:w="13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8.523.897</w:t>
            </w:r>
          </w:p>
        </w:tc>
        <w:tc>
          <w:tcPr>
            <w:tcW w:type="dxa" w:w="125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5.971.546</w:t>
            </w:r>
          </w:p>
        </w:tc>
        <w:tc>
          <w:tcPr>
            <w:tcW w:type="dxa" w:w="14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15.352.377</w:t>
            </w:r>
          </w:p>
        </w:tc>
        <w:tc>
          <w:tcPr>
            <w:tcW w:type="dxa" w:w="15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−9.380.831</w:t>
            </w:r>
          </w:p>
        </w:tc>
        <w:tc>
          <w:tcPr>
            <w:tcW w:type="dxa" w:w="145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−9.380.831</w:t>
            </w:r>
          </w:p>
        </w:tc>
      </w:tr>
    </w:tbl>
    <w:p>
      <w:pPr>
        <w:spacing w:after="90" w:before="30"/>
      </w:pPr>
      <w:r>
        <w:rPr>
          <w:rFonts w:ascii="Arial" w:cs="Arial" w:eastAsia="Arial" w:hAnsi="Arial"/>
          <w:i/>
          <w:iCs/>
          <w:color w:val="595959"/>
          <w:sz w:val="14"/>
          <w:szCs w:val="14"/>
        </w:rPr>
        <w:t xml:space="preserve">Ort. Silver MAU, net gelir ve katkı payı model çıktısıdır (M). Sabit gider, faaliyet nakit akışı ve kümülatif sütunları hesaptır (H): toplam sabit gider 78 aya eşit dağıtılmıştır (aylık ≈196.825 TL; İş Planı 2.4’teki düz dağıtım yöntemi). Dönemlik net gelirlerin toplamı yuvarlama nedeniyle 1 TL farklıdır (8.523.896; model toplamı 8.523.897); diğer sütunlarda da ±1 TL fark olabilir.</w:t>
      </w:r>
    </w:p>
    <w:p>
      <w:pPr>
        <w:spacing w:after="70" w:before="0"/>
      </w:pPr>
      <w:r>
        <w:rPr>
          <w:rFonts w:ascii="Arial" w:cs="Arial" w:eastAsia="Arial" w:hAnsi="Arial"/>
          <w:b/>
          <w:bCs/>
          <w:sz w:val="17"/>
          <w:szCs w:val="17"/>
        </w:rPr>
        <w:t xml:space="preserve">Başa baş yolu. </w:t>
      </w:r>
      <w:r>
        <w:rPr>
          <w:rFonts w:ascii="Arial" w:cs="Arial" w:eastAsia="Arial" w:hAnsi="Arial"/>
          <w:sz w:val="17"/>
          <w:szCs w:val="17"/>
        </w:rPr>
        <w:t xml:space="preserve">Taban senaryoda kümülatif faaliyet nakit akışı 78 ay boyunca sıfırın altında kalır (−9.380.831 TL); Yıl 5’te aylık katkı payı ≈163.771 TL, aylık sabit gider ≈196.825 TL’dir. Yani deterministik taban senaryo 78 ay içinde ne aylık faaliyet ne de kümülatif nakit başa başına ulaşır; başa baş ihtimali Monte Carlo ile Tablo D-7’de verilmiştir.</w:t>
      </w:r>
    </w:p>
    <w:p>
      <w:pPr>
        <w:pStyle w:val="Heading1"/>
        <w:keepNext/>
        <w:spacing w:after="80" w:before="220"/>
      </w:pPr>
      <w:r>
        <w:rPr>
          <w:rFonts w:ascii="Arial" w:cs="Arial" w:eastAsia="Arial" w:hAnsi="Arial"/>
          <w:b/>
          <w:bCs/>
          <w:sz w:val="23"/>
          <w:szCs w:val="23"/>
        </w:rPr>
        <w:t xml:space="preserve">3. Birim ekonomi</w:t>
      </w:r>
    </w:p>
    <w:p>
      <w:pPr>
        <w:keepNext/>
        <w:spacing w:after="50" w:before="140"/>
      </w:pPr>
      <w:r>
        <w:rPr>
          <w:rFonts w:ascii="Arial" w:cs="Arial" w:eastAsia="Arial" w:hAnsi="Arial"/>
          <w:b/>
          <w:bCs/>
          <w:i/>
          <w:iCs/>
          <w:sz w:val="18"/>
          <w:szCs w:val="18"/>
        </w:rPr>
        <w:t xml:space="preserve">Tablo D-3 — Birim ekonomi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500"/>
        <w:gridCol w:w="3106"/>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Birim</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Kalem</w:t>
            </w:r>
          </w:p>
        </w:tc>
        <w:tc>
          <w:tcPr>
            <w:tcW w:type="dxa" w:w="15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Değer</w:t>
            </w:r>
          </w:p>
        </w:tc>
        <w:tc>
          <w:tcPr>
            <w:tcW w:type="dxa" w:w="3106"/>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Not / etiket</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Ücretli abonelik (kullanıcı-ay)</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Ortalama net fiyat (KDV hariç)</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89,61 TL</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H: 5.168.915 ÷ 57.683 = 89,6090 (iki ondalığa yuvarlanmış gösterim). Gold aylık 82,50; Gold yıllık 62,43/ay; Platinum aylık 165,83; Platinum yıllık 131,88 TL/ay; Platinum payı %13,81, yıllık ödeme payı %20 (V)</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Mağaza/ödeme komisyonu (%15)</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13,44 TL</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H: 0,15 × ortalama fiyat; K/V: İş Planı 2.3</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Teknik-servis (kullanım bazlı sunucu/API)</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14,67 TL</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V; sağlayıcı faturaları Ay 3’ten aylık izlenir</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
            </w:r>
          </w:p>
        </w:tc>
        <w:tc>
          <w:tcPr>
            <w:tcW w:type="dxa" w:w="30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Birim maliyet</w:t>
            </w:r>
          </w:p>
        </w:tc>
        <w:tc>
          <w:tcPr>
            <w:tcW w:type="dxa" w:w="15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28,11 TL</w:t>
            </w:r>
          </w:p>
        </w:tc>
        <w:tc>
          <w:tcPr>
            <w:tcW w:type="dxa" w:w="310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H: 14,67 + 13,44</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
            </w:r>
          </w:p>
        </w:tc>
        <w:tc>
          <w:tcPr>
            <w:tcW w:type="dxa" w:w="30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Birim katkı (kar marjı)</w:t>
            </w:r>
          </w:p>
        </w:tc>
        <w:tc>
          <w:tcPr>
            <w:tcW w:type="dxa" w:w="15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61,50 TL</w:t>
            </w:r>
          </w:p>
        </w:tc>
        <w:tc>
          <w:tcPr>
            <w:tcW w:type="dxa" w:w="310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H: 89,61 − 28,11 (Tablo 4.4-4’te 61,50)</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Filo koltuğu (koltuk-ay)</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Fiyat (KDV hariç)</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225,00 TL</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Fiyat kararı; mağaza komisyonu yok</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Değişken maliyet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30,42 TL</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H: 225 − 194,58; tek toplu kalemdir, alt kalemleri ayrı bir kaynakla doğrulanmamıştır (V)</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Aylık katkı</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194,58 TL</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M</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LTV · CAC · nakit CAC · LTV/CAC</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5.121 · 2.464 · 176 TL · 2,08</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M (V etiketli girdilerle)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78 ay koltuk-ay toplamı</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11.525</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H: 2.593.125 ÷ 225</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Silver (aktif MAU-ay)</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Reklam ARPU (baz)</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1,70 TL</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V; formül: Tablo D-6</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Teknik maliyet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1,50 TL</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V: POI/adres arama 0,60 + sunucu/bant 0,70 + bildirim/depolama 0,20</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Net katkı</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0,20 TL</w:t>
            </w:r>
          </w:p>
        </w:tc>
        <w:tc>
          <w:tcPr>
            <w:tcW w:type="dxa" w:w="3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H: 1,70 − 1,50</w:t>
            </w:r>
          </w:p>
        </w:tc>
      </w:tr>
    </w:tbl>
    <w:p>
      <w:pPr>
        <w:spacing w:after="70" w:before="80"/>
      </w:pPr>
      <w:r>
        <w:rPr>
          <w:rFonts w:ascii="Arial" w:cs="Arial" w:eastAsia="Arial" w:hAnsi="Arial"/>
          <w:b/>
          <w:bCs/>
          <w:sz w:val="17"/>
          <w:szCs w:val="17"/>
        </w:rPr>
        <w:t xml:space="preserve">Tablo 4.4-4 formülü. </w:t>
      </w:r>
      <w:r>
        <w:rPr>
          <w:rFonts w:ascii="Arial" w:cs="Arial" w:eastAsia="Arial" w:hAnsi="Arial"/>
          <w:sz w:val="17"/>
          <w:szCs w:val="17"/>
        </w:rPr>
        <w:t xml:space="preserve">Sabit gider ÷ birim katkı = 15.352.377 ÷ 61,50 ≈ 249.632 kullanıcı-ay (taban öngörü: 57.683); yuvarlanmamış marjla (61,4976) ≈249.642. Filo ve Silver reklamının katkı payı (≈2.424.167 TL: filo 2.242.535 + reklam 181.632) düşüldüğünde eşik ≈210.215 kullanıcı-aya iner.</w:t>
      </w:r>
    </w:p>
    <w:p>
      <w:pPr>
        <w:keepNext/>
        <w:spacing w:after="50" w:before="140"/>
      </w:pPr>
      <w:r>
        <w:rPr>
          <w:rFonts w:ascii="Arial" w:cs="Arial" w:eastAsia="Arial" w:hAnsi="Arial"/>
          <w:b/>
          <w:bCs/>
          <w:i/>
          <w:iCs/>
          <w:sz w:val="18"/>
          <w:szCs w:val="18"/>
        </w:rPr>
        <w:t xml:space="preserve">Tablo D-4 — Değişken maliyet mutabakatı (H)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2106"/>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Değişken maliyet kalemi</w:t>
            </w:r>
          </w:p>
        </w:tc>
        <w:tc>
          <w:tcPr>
            <w:tcW w:type="dxa" w:w="42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Hesap</w:t>
            </w:r>
          </w:p>
        </w:tc>
        <w:tc>
          <w:tcPr>
            <w:tcW w:type="dxa" w:w="2106"/>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Tutar (TL)</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Ücretli abonelik: teknik-servis</w:t>
            </w:r>
          </w:p>
        </w:tc>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57.683 kullanıcı-ay × 14,67 TL</w:t>
            </w:r>
          </w:p>
        </w:tc>
        <w:tc>
          <w:tcPr>
            <w:tcW w:type="dxa" w:w="2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846.210</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Filo: değişken maliyet</w:t>
            </w:r>
          </w:p>
        </w:tc>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11.525 koltuk-ay × 30,42 TL</w:t>
            </w:r>
          </w:p>
        </w:tc>
        <w:tc>
          <w:tcPr>
            <w:tcW w:type="dxa" w:w="2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350.591</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Silver: teknik maliyet</w:t>
            </w:r>
          </w:p>
        </w:tc>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≈903.708 MAU-ay × 1,50 TL</w:t>
            </w:r>
          </w:p>
        </w:tc>
        <w:tc>
          <w:tcPr>
            <w:tcW w:type="dxa" w:w="2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1.355.562</w:t>
            </w:r>
          </w:p>
        </w:tc>
      </w:tr>
      <w:tr>
        <w:trPr>
          <w:cantSplit/>
        </w:trPr>
        <w:tc>
          <w:tcPr>
            <w:tcW w:type="dxa" w:w="36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Toplam (hesaplanan)</w:t>
            </w:r>
          </w:p>
        </w:tc>
        <w:tc>
          <w:tcPr>
            <w:tcW w:type="dxa" w:w="42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
            </w:r>
          </w:p>
        </w:tc>
        <w:tc>
          <w:tcPr>
            <w:tcW w:type="dxa" w:w="210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2.552.363</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Tablo D-1’deki değişken teknik maliyet</w:t>
            </w:r>
          </w:p>
        </w:tc>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Net gelir − katkı payı</w:t>
            </w:r>
          </w:p>
        </w:tc>
        <w:tc>
          <w:tcPr>
            <w:tcW w:type="dxa" w:w="2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2.552.351</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Fark</w:t>
            </w:r>
          </w:p>
        </w:tc>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yuvarlama (dönem ortalama MAU’ları tam sayıdır)</w:t>
            </w:r>
          </w:p>
        </w:tc>
        <w:tc>
          <w:tcPr>
            <w:tcW w:type="dxa" w:w="21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−12</w:t>
            </w:r>
          </w:p>
        </w:tc>
      </w:tr>
    </w:tbl>
    <w:p>
      <w:pPr>
        <w:spacing w:after="90" w:before="30"/>
      </w:pPr>
      <w:r>
        <w:rPr>
          <w:rFonts w:ascii="Arial" w:cs="Arial" w:eastAsia="Arial" w:hAnsi="Arial"/>
          <w:i/>
          <w:iCs/>
          <w:color w:val="595959"/>
          <w:sz w:val="14"/>
          <w:szCs w:val="14"/>
        </w:rPr>
        <w:t xml:space="preserve">Silver MAU-ay toplamı, Tablo D-2’deki dönem ortalama MAU’sunun ay sayısıyla çarpımının toplamıdır (≈903.708); ödeyen kullanıcı-ay (57.683) toplam MAU-ayın %6’sıdır.</w:t>
      </w:r>
    </w:p>
    <w:p>
      <w:pPr>
        <w:pStyle w:val="Heading1"/>
        <w:keepNext/>
        <w:spacing w:after="80" w:before="220"/>
      </w:pPr>
      <w:r>
        <w:rPr>
          <w:rFonts w:ascii="Arial" w:cs="Arial" w:eastAsia="Arial" w:hAnsi="Arial"/>
          <w:b/>
          <w:bCs/>
          <w:sz w:val="23"/>
          <w:szCs w:val="23"/>
        </w:rPr>
        <w:t xml:space="preserve">4. Kaynaklı varsayımlar</w:t>
      </w:r>
    </w:p>
    <w:p>
      <w:pPr>
        <w:keepNext/>
        <w:spacing w:after="50" w:before="140"/>
      </w:pPr>
      <w:r>
        <w:rPr>
          <w:rFonts w:ascii="Arial" w:cs="Arial" w:eastAsia="Arial" w:hAnsi="Arial"/>
          <w:b/>
          <w:bCs/>
          <w:i/>
          <w:iCs/>
          <w:sz w:val="18"/>
          <w:szCs w:val="18"/>
        </w:rPr>
        <w:t xml:space="preserve">Tablo D-5 — Model varsayımları ve kalibrasyon parametreleri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1200"/>
        <w:gridCol w:w="3656"/>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Parametre</w:t>
            </w:r>
          </w:p>
        </w:tc>
        <w:tc>
          <w:tcPr>
            <w:tcW w:type="dxa" w:w="175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Taban (düşük–yüksek)</w:t>
            </w:r>
          </w:p>
        </w:tc>
        <w:tc>
          <w:tcPr>
            <w:tcW w:type="dxa" w:w="12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Etiket</w:t>
            </w:r>
          </w:p>
        </w:tc>
        <w:tc>
          <w:tcPr>
            <w:tcW w:type="dxa" w:w="3656"/>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Dayanak ve doğrulama planı</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USD/TRY</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42,0 (Monte Carlo’da ±%15/+%25)</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Taban kur varsayımı; sabit reel kur</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Ödeyen kullanıcı payı (MAU içinde)</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%6 (%4–%10)</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Canlı veri yok; paywall deneyleri Ay 3’te başlar, anket en az 150 sürücü ve 100 kurye</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Yıllık ödeme payı</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%20 (%10–%35)</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Paywall ve abonelik analitiğiyle ölçülecek</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Platinum payı (ödeyenler içinde)</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≈%13,81</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Kalibrasyon parametresi: önceki fizibilite toplamlarına cebirsel kalibre; Gold→Platinum deneyiyle ölçülecek</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MAU ölçeği</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S-eğrisi; 78 ay ücretli kullanıcı-ay toplamı 57.683</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Kalibrasyon parametresi: önceki fizibilite toplamına geriye kalibre; beta kohortlarıyla değişecek</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Mağaza komisyonu</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%15</w:t>
            </w:r>
          </w:p>
        </w:tc>
        <w:tc>
          <w:tcPr>
            <w:tcW w:type="dxa" w:w="1200"/>
            <w:tcBorders>
              <w:top w:val="single" w:color="808080" w:sz="4"/>
              <w:left w:val="single" w:color="808080" w:sz="4"/>
              <w:bottom w:val="single" w:color="808080" w:sz="4"/>
              <w:right w:val="single" w:color="808080" w:sz="4"/>
            </w:tcBorders>
            <w:shd w:fill="EDEDED"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K</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Apple: Small Business Program uygunluğu; Google: sabit %15 (İş Planı 2.3)</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Silver teknik maliyeti</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1,50 TL/MAU-ay</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Sağlayıcı faturaları ve çağrı sayıları Ay 3’ten aylık izlenir</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Ücretli teknik-servis maliyeti</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14,67 TL/kullanıcı-ay</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Aynı izleme</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Reklam senaryosu</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Baz (Düşük–Yüksek): Tablo D-6</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Reklam ARPU’su ölçülene kadar model varsayımıdır</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Filo fiyatı ve birim ekonomisi</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225 TL + KDV; LTV/CAC 2,08</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Pilot ve ilk sözleşme (Ocak 2028) verisiyle güncellenecek</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Filo değeri</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%5 mesafe tasarrufu ≈390–520 TL/kurye/ay</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Ölçüm pilotu: 20 kurye, 8 hafta (Haziran 2027)</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Sabit gider</w:t>
            </w:r>
          </w:p>
        </w:tc>
        <w:tc>
          <w:tcPr>
            <w:tcW w:type="dxa" w:w="17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15.352.377 TL (78 ay), düz dağıtım</w:t>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top"/>
          </w:tcPr>
          <w:p>
            <w:pPr>
              <w:spacing w:after="20"/>
            </w:pPr>
            <w:r>
              <w:rPr>
                <w:rFonts w:ascii="Arial" w:cs="Arial" w:eastAsia="Arial" w:hAnsi="Arial"/>
                <w:sz w:val="15"/>
                <w:szCs w:val="15"/>
              </w:rPr>
              <w:t xml:space="preserve">V</w:t>
            </w:r>
          </w:p>
        </w:tc>
        <w:tc>
          <w:tcPr>
            <w:tcW w:type="dxa" w:w="36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Bütçe planı Ek-E’de netleşecek; kalemler: personel+SGK 9,53M; genel yönetim ve danışmanlık 2,18M; canlı trafik lisansı 1,62M; pazarlama ve filo kurulumu 1,19M; ofis ve sunucu kirası 0,76M; teçhizat 75 bin TL (yuvarlak)</w:t>
            </w:r>
          </w:p>
        </w:tc>
      </w:tr>
    </w:tbl>
    <w:p>
      <w:pPr>
        <w:spacing w:after="90" w:before="30"/>
      </w:pPr>
      <w:r>
        <w:rPr>
          <w:rFonts w:ascii="Arial" w:cs="Arial" w:eastAsia="Arial" w:hAnsi="Arial"/>
          <w:i/>
          <w:iCs/>
          <w:color w:val="595959"/>
          <w:sz w:val="14"/>
          <w:szCs w:val="14"/>
        </w:rPr>
        <w:t xml:space="preserve">Bu değerler ölçülmüş değildir; V etiketli her değer canlı beta verisi, paywall deneyleri, fiyat anketi, ölçüm pilotu veya sağlayıcı faturalarıyla ölçüldükçe modelin yerini alacaktır (İş Planı 4.2 ölçüm göstergeleri).</w:t>
      </w:r>
    </w:p>
    <w:p>
      <w:pPr>
        <w:keepNext/>
        <w:spacing w:after="50" w:before="140"/>
      </w:pPr>
      <w:r>
        <w:rPr>
          <w:rFonts w:ascii="Arial" w:cs="Arial" w:eastAsia="Arial" w:hAnsi="Arial"/>
          <w:b/>
          <w:bCs/>
          <w:i/>
          <w:iCs/>
          <w:sz w:val="18"/>
          <w:szCs w:val="18"/>
        </w:rPr>
        <w:t xml:space="preserve">Tablo D-6 — Reklam senaryoları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400"/>
        <w:gridCol w:w="1400"/>
        <w:gridCol w:w="1100"/>
        <w:gridCol w:w="1300"/>
        <w:gridCol w:w="1406"/>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Senaryo</w:t>
            </w:r>
          </w:p>
        </w:tc>
        <w:tc>
          <w:tcPr>
            <w:tcW w:type="dxa" w:w="11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Aktif gün/ay</w:t>
            </w:r>
          </w:p>
        </w:tc>
        <w:tc>
          <w:tcPr>
            <w:tcW w:type="dxa" w:w="11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Oturum/gün</w:t>
            </w:r>
          </w:p>
        </w:tc>
        <w:tc>
          <w:tcPr>
            <w:tcW w:type="dxa" w:w="14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Reklam/uygun oturum</w:t>
            </w:r>
          </w:p>
        </w:tc>
        <w:tc>
          <w:tcPr>
            <w:tcW w:type="dxa" w:w="14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Uygun oturum payı</w:t>
            </w:r>
          </w:p>
        </w:tc>
        <w:tc>
          <w:tcPr>
            <w:tcW w:type="dxa" w:w="11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Doldurma</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eCPM (USD)</w:t>
            </w:r>
          </w:p>
        </w:tc>
        <w:tc>
          <w:tcPr>
            <w:tcW w:type="dxa" w:w="1406"/>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ARPU (TL)</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Düşük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6</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%55</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3</w:t>
            </w:r>
          </w:p>
        </w:tc>
        <w:tc>
          <w:tcPr>
            <w:tcW w:type="dxa" w:w="14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0,12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Baz</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9</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1,5</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%40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%75</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w:t>
            </w:r>
          </w:p>
        </w:tc>
        <w:tc>
          <w:tcPr>
            <w:tcW w:type="dxa" w:w="14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1,70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Yüksek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12</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3</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%90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8</w:t>
            </w:r>
          </w:p>
        </w:tc>
        <w:tc>
          <w:tcPr>
            <w:tcW w:type="dxa" w:w="14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11,98</w:t>
            </w:r>
          </w:p>
        </w:tc>
      </w:tr>
    </w:tbl>
    <w:p>
      <w:pPr>
        <w:spacing w:after="90" w:before="30"/>
      </w:pPr>
      <w:r>
        <w:rPr>
          <w:rFonts w:ascii="Arial" w:cs="Arial" w:eastAsia="Arial" w:hAnsi="Arial"/>
          <w:i/>
          <w:iCs/>
          <w:color w:val="595959"/>
          <w:sz w:val="14"/>
          <w:szCs w:val="14"/>
        </w:rPr>
        <w:t xml:space="preserve">ARPU = aktif gün × oturum/gün × reklam/uygun oturum × uygun oturum payı × doldurma ÷ 1.000 × eCPM × USD/TRY (42,0). Baz: 9×1,5×2×0,40 = 10,8 uygun talep; ×0,75 = 8,1 gösterim/Silver MAU/ay; (8,1÷1.000)×5×42 = 1,70 TL. Aktif sürüş/navigasyon sırasında reklam gösterilmez.</w:t>
      </w:r>
    </w:p>
    <w:p>
      <w:pPr>
        <w:pStyle w:val="Heading1"/>
        <w:keepNext/>
        <w:spacing w:after="80" w:before="220"/>
      </w:pPr>
      <w:r>
        <w:rPr>
          <w:rFonts w:ascii="Arial" w:cs="Arial" w:eastAsia="Arial" w:hAnsi="Arial"/>
          <w:b/>
          <w:bCs/>
          <w:sz w:val="23"/>
          <w:szCs w:val="23"/>
        </w:rPr>
        <w:t xml:space="preserve">5. Belirsizlik ve duyarlılık</w:t>
      </w:r>
    </w:p>
    <w:p>
      <w:pPr>
        <w:keepNext/>
        <w:spacing w:after="50" w:before="140"/>
      </w:pPr>
      <w:r>
        <w:rPr>
          <w:rFonts w:ascii="Arial" w:cs="Arial" w:eastAsia="Arial" w:hAnsi="Arial"/>
          <w:b/>
          <w:bCs/>
          <w:i/>
          <w:iCs/>
          <w:sz w:val="18"/>
          <w:szCs w:val="18"/>
        </w:rPr>
        <w:t xml:space="preserve">Tablo D-7 — Monte Carlo dağılımı</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1700"/>
        <w:gridCol w:w="1806"/>
      </w:tblGrid>
      <w:tr>
        <w:trPr>
          <w:cantSplit/>
          <w:tblHeader/>
        </w:trPr>
        <w:tc>
          <w:tcPr>
            <w:tcW w:type="dxa" w:w="47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Ölçüt (131.072 koşum, bağımsız örneklemeli)</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P10</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Medyan</w:t>
            </w:r>
          </w:p>
        </w:tc>
        <w:tc>
          <w:tcPr>
            <w:tcW w:type="dxa" w:w="1806"/>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P90</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Toplam brüt gelir (78 ay)</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5,95M TL</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10,56M TL</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19,34M TL</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5. yıl net geliri</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1,81M TL</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3,22M TL</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5,91M TL</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En büyük kümülatif nakit açığı</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~6,29M TL</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~8,40M TL</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~11,41M TL</w:t>
            </w:r>
          </w:p>
        </w:tc>
      </w:tr>
    </w:tbl>
    <w:p>
      <w:pPr>
        <w:spacing w:after="70" w:before="60"/>
      </w:pPr>
      <w:r>
        <w:rPr>
          <w:rFonts w:ascii="Arial" w:cs="Arial" w:eastAsia="Arial" w:hAnsi="Arial"/>
          <w:b/>
          <w:bCs/>
          <w:sz w:val="17"/>
          <w:szCs w:val="17"/>
        </w:rPr>
        <w:t xml:space="preserve">Olasılıklar (78 ay içinde). </w:t>
      </w:r>
      <w:r>
        <w:rPr>
          <w:rFonts w:ascii="Arial" w:cs="Arial" w:eastAsia="Arial" w:hAnsi="Arial"/>
          <w:sz w:val="17"/>
          <w:szCs w:val="17"/>
        </w:rPr>
        <w:t xml:space="preserve">Aylık faaliyet başa başı (bir ayın katkı payının o ayın sabit giderini aşması): %49,4. Kümülatif nakit başa başı (tüm önceki zararların geri ödenmesi): %4,4.</w:t>
      </w:r>
    </w:p>
    <w:p>
      <w:pPr>
        <w:keepNext/>
        <w:spacing w:after="50" w:before="140"/>
      </w:pPr>
      <w:r>
        <w:rPr>
          <w:rFonts w:ascii="Arial" w:cs="Arial" w:eastAsia="Arial" w:hAnsi="Arial"/>
          <w:b/>
          <w:bCs/>
          <w:i/>
          <w:iCs/>
          <w:sz w:val="18"/>
          <w:szCs w:val="18"/>
        </w:rPr>
        <w:t xml:space="preserve">Tablo D-8 — Duyarlılık (78 ay faaliyet nakit akışı etkisi)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00"/>
        <w:gridCol w:w="2000"/>
        <w:gridCol w:w="1806"/>
      </w:tblGrid>
      <w:tr>
        <w:trPr>
          <w:cantSplit/>
          <w:tblHeader/>
        </w:trPr>
        <w:tc>
          <w:tcPr>
            <w:tcW w:type="dxa" w:w="61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Kaldıraç (78 ay faaliyet nakit akışına etkisi)</w:t>
            </w:r>
          </w:p>
        </w:tc>
        <w:tc>
          <w:tcPr>
            <w:tcW w:type="dxa" w:w="20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Etki</w:t>
            </w:r>
          </w:p>
        </w:tc>
        <w:tc>
          <w:tcPr>
            <w:tcW w:type="dxa" w:w="1806"/>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Not</w:t>
            </w:r>
          </w:p>
        </w:tc>
      </w:tr>
      <w:tr>
        <w:trPr>
          <w:cantSplit/>
        </w:trPr>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Reklam senaryosu → Yüksek (6 parametre birlikte)</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+9,28M TL</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Birleşik senaryo</w:t>
            </w:r>
          </w:p>
        </w:tc>
      </w:tr>
      <w:tr>
        <w:trPr>
          <w:cantSplit/>
        </w:trPr>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Sabit gider → −%20 (operasyonel verimlilik)</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+3,07M TL</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Tek başına</w:t>
            </w:r>
          </w:p>
        </w:tc>
      </w:tr>
      <w:tr>
        <w:trPr>
          <w:cantSplit/>
        </w:trPr>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Ödeyen payı → Yüksek (%10)</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+2,36M TL</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Tek başına</w:t>
            </w:r>
          </w:p>
        </w:tc>
      </w:tr>
      <w:tr>
        <w:trPr>
          <w:cantSplit/>
        </w:trPr>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Filo ölçeği → 2× (agresif B2B satış)</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+2,24M TL</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Tek başına</w:t>
            </w:r>
          </w:p>
        </w:tc>
      </w:tr>
      <w:tr>
        <w:trPr>
          <w:cantSplit/>
        </w:trPr>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Platinum payı → Yüksek</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+0,44M TL</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Tek başına</w:t>
            </w:r>
          </w:p>
        </w:tc>
      </w:tr>
      <w:tr>
        <w:trPr>
          <w:cantSplit/>
        </w:trPr>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Yıllık ödeme payı: Baz %20 → Yüksek %35</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−0,16M TL</w:t>
            </w:r>
          </w:p>
        </w:tc>
        <w:tc>
          <w:tcPr>
            <w:tcW w:type="dxa" w:w="1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Tek başına</w:t>
            </w:r>
          </w:p>
        </w:tc>
      </w:tr>
    </w:tbl>
    <w:p>
      <w:pPr>
        <w:spacing w:after="90" w:before="30"/>
      </w:pPr>
      <w:r>
        <w:rPr>
          <w:rFonts w:ascii="Arial" w:cs="Arial" w:eastAsia="Arial" w:hAnsi="Arial"/>
          <w:i/>
          <w:iCs/>
          <w:color w:val="595959"/>
          <w:sz w:val="14"/>
          <w:szCs w:val="14"/>
        </w:rPr>
        <w:t xml:space="preserve">Sıralama nakit akışı etkisine göredir. İlk satır birleşik senaryodur ve tek bir yönetim eylemi değildir. Tek başına uygulanabilir en güçlü iki kaldıraç sabit gider verimliliği ve ödeyen payı artışıdır; hiçbiri tek başına taban senaryoyu başa baş noktasına taşımaz (78 ay toplamı −9,38M TL).</w:t>
      </w:r>
    </w:p>
    <w:p>
      <w:pPr>
        <w:pStyle w:val="Heading1"/>
        <w:keepNext/>
        <w:spacing w:after="80" w:before="220"/>
      </w:pPr>
      <w:r>
        <w:rPr>
          <w:rFonts w:ascii="Arial" w:cs="Arial" w:eastAsia="Arial" w:hAnsi="Arial"/>
          <w:b/>
          <w:bCs/>
          <w:sz w:val="23"/>
          <w:szCs w:val="23"/>
        </w:rPr>
        <w:t xml:space="preserve">6. Finansman ve nakit pisti</w:t>
      </w:r>
    </w:p>
    <w:p>
      <w:pPr>
        <w:keepNext/>
        <w:spacing w:after="50" w:before="140"/>
      </w:pPr>
      <w:r>
        <w:rPr>
          <w:rFonts w:ascii="Arial" w:cs="Arial" w:eastAsia="Arial" w:hAnsi="Arial"/>
          <w:b/>
          <w:bCs/>
          <w:i/>
          <w:iCs/>
          <w:sz w:val="18"/>
          <w:szCs w:val="18"/>
        </w:rPr>
        <w:t xml:space="preserve">Tablo D-9 — Finansman merdiveni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2000"/>
        <w:gridCol w:w="2806"/>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Kaynak</w:t>
            </w:r>
          </w:p>
        </w:tc>
        <w:tc>
          <w:tcPr>
            <w:tcW w:type="dxa" w:w="18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jc w:val="right"/>
            </w:pPr>
            <w:r>
              <w:rPr>
                <w:rFonts w:ascii="Arial" w:cs="Arial" w:eastAsia="Arial" w:hAnsi="Arial"/>
                <w:b/>
                <w:bCs/>
                <w:sz w:val="15"/>
                <w:szCs w:val="15"/>
              </w:rPr>
              <w:t xml:space="preserve">Tutar (TL)</w:t>
            </w:r>
          </w:p>
        </w:tc>
        <w:tc>
          <w:tcPr>
            <w:tcW w:type="dxa" w:w="2000"/>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Statü</w:t>
            </w:r>
          </w:p>
        </w:tc>
        <w:tc>
          <w:tcPr>
            <w:tcW w:type="dxa" w:w="2806"/>
            <w:tcBorders>
              <w:top w:val="single" w:color="808080" w:sz="4"/>
              <w:left w:val="single" w:color="808080" w:sz="4"/>
              <w:bottom w:val="single" w:color="808080" w:sz="4"/>
              <w:right w:val="single" w:color="808080" w:sz="4"/>
            </w:tcBorders>
            <w:shd w:fill="D9D9D9" w:color="auto" w:val="clear"/>
            <w:tcMar>
              <w:top w:type="dxa" w:w="40"/>
              <w:left w:type="dxa" w:w="70"/>
              <w:bottom w:type="dxa" w:w="40"/>
              <w:right w:type="dxa" w:w="70"/>
            </w:tcMar>
            <w:vAlign w:val="top"/>
          </w:tcPr>
          <w:p>
            <w:pPr>
              <w:spacing w:after="20"/>
            </w:pPr>
            <w:r>
              <w:rPr>
                <w:rFonts w:ascii="Arial" w:cs="Arial" w:eastAsia="Arial" w:hAnsi="Arial"/>
                <w:b/>
                <w:bCs/>
                <w:sz w:val="15"/>
                <w:szCs w:val="15"/>
              </w:rPr>
              <w:t xml:space="preserve">Zamanlama</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TÜBİTAK BİGG yatırımı (%3; 7.500 sermaye + 1.342.500 emisyon primi)</w:t>
            </w:r>
          </w:p>
        </w:tc>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1.350.000</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Kesin finansman (kabule bağlı)</w:t>
            </w:r>
          </w:p>
        </w:tc>
        <w:tc>
          <w:tcPr>
            <w:tcW w:type="dxa" w:w="2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Modelde başlangıçta kullanılabilir varsayılır; dönemsel ödeme takvimi Ek-E’de</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Kurucu sermayesi</w:t>
            </w:r>
          </w:p>
        </w:tc>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242.500</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Kesin finansman</w:t>
            </w:r>
          </w:p>
        </w:tc>
        <w:tc>
          <w:tcPr>
            <w:tcW w:type="dxa" w:w="2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Modelde başlangıçta kullanılabilir varsayılır</w:t>
            </w:r>
          </w:p>
        </w:tc>
      </w:tr>
      <w:tr>
        <w:trPr>
          <w:cantSplit/>
        </w:trPr>
        <w:tc>
          <w:tcPr>
            <w:tcW w:type="dxa" w:w="33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Kesin finansman toplamı</w:t>
            </w:r>
          </w:p>
        </w:tc>
        <w:tc>
          <w:tcPr>
            <w:tcW w:type="dxa" w:w="18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1.592.500</w:t>
            </w:r>
          </w:p>
        </w:tc>
        <w:tc>
          <w:tcPr>
            <w:tcW w:type="dxa" w:w="20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
            </w:r>
          </w:p>
        </w:tc>
        <w:tc>
          <w:tcPr>
            <w:tcW w:type="dxa" w:w="280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Yaklaşık Ay 9’a kadar</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Melek yatırım turu</w:t>
            </w:r>
          </w:p>
        </w:tc>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belirtilmedi</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Koşullu</w:t>
            </w:r>
          </w:p>
        </w:tc>
        <w:tc>
          <w:tcPr>
            <w:tcW w:type="dxa" w:w="2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Ay 6’da başlar</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Devam yatırımı (Fon payı toplam en fazla %5)</w:t>
            </w:r>
          </w:p>
        </w:tc>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en fazla 1.350.000</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Koşullu</w:t>
            </w:r>
          </w:p>
        </w:tc>
        <w:tc>
          <w:tcPr>
            <w:tcW w:type="dxa" w:w="2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Zamanlama belirtilmedi</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BİGG+ (en fazla %10)</w:t>
            </w:r>
          </w:p>
        </w:tc>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jc w:val="right"/>
            </w:pPr>
            <w:r>
              <w:rPr>
                <w:rFonts w:ascii="Arial" w:cs="Arial" w:eastAsia="Arial" w:hAnsi="Arial"/>
                <w:sz w:val="15"/>
                <w:szCs w:val="15"/>
              </w:rPr>
              <w:t xml:space="preserve">en fazla 8.000.000</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Koşullu</w:t>
            </w:r>
          </w:p>
        </w:tc>
        <w:tc>
          <w:tcPr>
            <w:tcW w:type="dxa" w:w="280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20"/>
            </w:pPr>
            <w:r>
              <w:rPr>
                <w:rFonts w:ascii="Arial" w:cs="Arial" w:eastAsia="Arial" w:hAnsi="Arial"/>
                <w:sz w:val="15"/>
                <w:szCs w:val="15"/>
              </w:rPr>
              <w:t xml:space="preserve">En erken 2028 sonbaharı; planlanan başvuru Haziran 2029</w:t>
            </w:r>
          </w:p>
        </w:tc>
      </w:tr>
      <w:tr>
        <w:trPr>
          <w:cantSplit/>
        </w:trPr>
        <w:tc>
          <w:tcPr>
            <w:tcW w:type="dxa" w:w="33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Koşullu tavanlar dahil toplam</w:t>
            </w:r>
          </w:p>
        </w:tc>
        <w:tc>
          <w:tcPr>
            <w:tcW w:type="dxa" w:w="18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jc w:val="right"/>
            </w:pPr>
            <w:r>
              <w:rPr>
                <w:rFonts w:ascii="Arial" w:cs="Arial" w:eastAsia="Arial" w:hAnsi="Arial"/>
                <w:b/>
                <w:bCs/>
                <w:sz w:val="15"/>
                <w:szCs w:val="15"/>
              </w:rPr>
              <w:t xml:space="preserve">10.942.500</w:t>
            </w:r>
          </w:p>
        </w:tc>
        <w:tc>
          <w:tcPr>
            <w:tcW w:type="dxa" w:w="20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Base case değil</w:t>
            </w:r>
          </w:p>
        </w:tc>
        <w:tc>
          <w:tcPr>
            <w:tcW w:type="dxa" w:w="2806"/>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top"/>
          </w:tcPr>
          <w:p>
            <w:pPr>
              <w:keepNext w:val="false"/>
              <w:spacing w:after="20"/>
            </w:pPr>
            <w:r>
              <w:rPr>
                <w:rFonts w:ascii="Arial" w:cs="Arial" w:eastAsia="Arial" w:hAnsi="Arial"/>
                <w:b/>
                <w:bCs/>
                <w:sz w:val="15"/>
                <w:szCs w:val="15"/>
              </w:rPr>
              <w:t xml:space="preserve">Gerçekleşeceği anlamına gelmez</w:t>
            </w:r>
          </w:p>
        </w:tc>
      </w:tr>
    </w:tbl>
    <w:p>
      <w:pPr>
        <w:spacing w:after="70" w:before="60"/>
      </w:pPr>
      <w:r>
        <w:rPr>
          <w:rFonts w:ascii="Arial" w:cs="Arial" w:eastAsia="Arial" w:hAnsi="Arial"/>
          <w:b/>
          <w:bCs/>
          <w:sz w:val="17"/>
          <w:szCs w:val="17"/>
        </w:rPr>
        <w:t xml:space="preserve">Nakit pisti. </w:t>
      </w:r>
      <w:r>
        <w:rPr>
          <w:rFonts w:ascii="Arial" w:cs="Arial" w:eastAsia="Arial" w:hAnsi="Arial"/>
          <w:sz w:val="17"/>
          <w:szCs w:val="17"/>
        </w:rPr>
        <w:t xml:space="preserve">Kesin finansman 1.592.500 TL; aylık net açık ≈191.534 TL (aylık sabit gider ≈196.825 − proje dönemi ortalama aylık katkı payı ≈5.292) olduğundan yaklaşık 8,3 ay yeter, yani Ay 9 içinde tükenir. Bu, sabit giderin 78 aya eşit dağıtıldığı muhafazakâr bir basitleştirmedir; gerçek pist Ek-E’deki dönemsel ödeme takvimiyle netleşecektir. Koşullu tavanların tamamı gerçekleşse bile toplam 10,94M TL, Monte Carlo’daki en büyük kümülatif nakit açığının medyanını (~8,40M TL) tutar olarak karşılar, P90 değerini (~11,41M TL) karşılamaz.</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Ek-D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Ek-D Sayısal Fizibilite Özeti</dc:title>
  <dc:creator>MotoMap</dc:creator>
  <cp:lastModifiedBy>Un-named</cp:lastModifiedBy>
  <cp:revision>1</cp:revision>
  <dcterms:created xsi:type="dcterms:W3CDTF">2026-09-30T12:21:44.495Z</dcterms:created>
  <dcterms:modified xsi:type="dcterms:W3CDTF">2026-09-30T12:21:44.495Z</dcterms:modified>
</cp:coreProperties>
</file>

<file path=docProps/custom.xml><?xml version="1.0" encoding="utf-8"?>
<Properties xmlns="http://schemas.openxmlformats.org/officeDocument/2006/custom-properties" xmlns:vt="http://schemas.openxmlformats.org/officeDocument/2006/docPropsVTypes"/>
</file>