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MotoTitle"/>
        <w:jc w:val="left"/>
        <w:rPr/>
      </w:pPr>
      <w:r>
        <w:rPr/>
        <w:t>MotoMap AGY 112 - Ekler Rehberi</w:t>
      </w:r>
    </w:p>
    <w:p>
      <w:pPr>
        <w:pStyle w:val="MotoSubtitle"/>
        <w:rPr/>
      </w:pPr>
      <w:r>
        <w:rPr/>
        <w:t>Bu doküman, güncel iş planında doğrudan atıf verilen ekler ile dosyayı güçlendirecek destekleyici eklerin ne amaçla hazırlanacağını ve her ekte hangi kanıtların bulunması gerektiğini özetler.</w:t>
      </w:r>
    </w:p>
    <w:p>
      <w:pPr>
        <w:pStyle w:val="Normal"/>
        <w:rPr/>
      </w:pPr>
      <w:r>
        <w:rPr>
          <w:b/>
        </w:rPr>
        <w:t xml:space="preserve">Önceliklendirme: </w:t>
      </w:r>
      <w:r>
        <w:rPr/>
        <w:t xml:space="preserve">Ana metinde doğrudan atıf verilen ve hazırlanması gereken temel ekler: </w:t>
      </w:r>
      <w:r>
        <w:rPr>
          <w:b/>
        </w:rPr>
        <w:t>Ek-A, Ek-B, Ek-C, Ek-D, Ek-E, Ek-H ve Ek-N.</w:t>
      </w:r>
      <w:r>
        <w:rPr/>
        <w:t xml:space="preserve"> Ek-F, G, I, J, K, L ve M ise iş planındaki iddiaları destekleyen ve PRODİS dosyasını güçlendiren eklerdir.</w:t>
      </w:r>
    </w:p>
    <w:tbl>
      <w:tblPr>
        <w:tblStyle w:val="TableGrid"/>
        <w:tblW w:w="1525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w="3050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Ek</w:t>
            </w:r>
          </w:p>
        </w:tc>
        <w:tc>
          <w:tcPr>
            <w:tcW w:w="3050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Statü</w:t>
            </w:r>
          </w:p>
        </w:tc>
        <w:tc>
          <w:tcPr>
            <w:tcW w:w="3050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Belge Adı</w:t>
            </w:r>
          </w:p>
        </w:tc>
        <w:tc>
          <w:tcPr>
            <w:tcW w:w="3050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Amaç / Neden Gerekli</w:t>
            </w:r>
          </w:p>
        </w:tc>
        <w:tc>
          <w:tcPr>
            <w:tcW w:w="3050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İçermesi Gerekenler</w:t>
            </w:r>
          </w:p>
        </w:tc>
      </w:tr>
      <w:tr>
        <w:trPr>
          <w:cantSplit w:val="true"/>
        </w:trPr>
        <w:tc>
          <w:tcPr>
            <w:tcW w:w="30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Ek-A</w:t>
            </w:r>
          </w:p>
        </w:tc>
        <w:tc>
          <w:tcPr>
            <w:tcW w:w="30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Kesin gerekli</w:t>
            </w:r>
          </w:p>
        </w:tc>
        <w:tc>
          <w:tcPr>
            <w:tcW w:w="30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Teknik Doğrulama ve Performans Raporu</w:t>
            </w:r>
          </w:p>
        </w:tc>
        <w:tc>
          <w:tcPr>
            <w:tcW w:w="30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Rota motorunun algoritmik doğruluğunu ve sunucu performansını kanıtlamak.</w:t>
            </w:r>
          </w:p>
        </w:tc>
        <w:tc>
          <w:tcPr>
            <w:tcW w:w="30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Test edilen yazılım sürümü/commit; referans algoritma 40/40 testleri; dönüş kısıtlı sürüm 30/30 testleri; yasak dönüş örnekleri; yük testi yöntemi; tek kullanıcı 39 ms ve 100 eşzamanlı kullanıcı 2,5 s sonuçları; mümkünse p50/p95/p99 ve hata oranı; test logları/ekran görüntüleri. Sonuçların saha ETA doğruluğu olmadığı açıkça yazılmalı.</w:t>
            </w:r>
          </w:p>
        </w:tc>
      </w:tr>
      <w:tr>
        <w:trPr>
          <w:cantSplit w:val="true"/>
        </w:trPr>
        <w:tc>
          <w:tcPr>
            <w:tcW w:w="30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Ek-B</w:t>
            </w:r>
          </w:p>
        </w:tc>
        <w:tc>
          <w:tcPr>
            <w:tcW w:w="30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Kesin gerekli</w:t>
            </w:r>
          </w:p>
        </w:tc>
        <w:tc>
          <w:tcPr>
            <w:tcW w:w="30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THS Değerlendirme ve Kanıt Matrisi</w:t>
            </w:r>
          </w:p>
        </w:tc>
        <w:tc>
          <w:tcPr>
            <w:tcW w:w="30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THS 5 ve THS 6 seviyelerinin hangi kriterlere göre hesaplandığını göstermek.</w:t>
            </w:r>
          </w:p>
        </w:tc>
        <w:tc>
          <w:tcPr>
            <w:tcW w:w="30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THS kriter listesi; her kriter için sağlandı/kısmen/sağlanmadı durumu; kanıt kaynağı; puanlama yöntemi; %80 kabul eşiği; THS 5=%88 ve THS 6=%76 hesabı; THS 6'yı tamamlamak için kalan işler.</w:t>
            </w:r>
          </w:p>
        </w:tc>
      </w:tr>
      <w:tr>
        <w:trPr>
          <w:cantSplit w:val="true"/>
        </w:trPr>
        <w:tc>
          <w:tcPr>
            <w:tcW w:w="30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Ek-C</w:t>
            </w:r>
          </w:p>
        </w:tc>
        <w:tc>
          <w:tcPr>
            <w:tcW w:w="30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Kesin gerekli</w:t>
            </w:r>
          </w:p>
        </w:tc>
        <w:tc>
          <w:tcPr>
            <w:tcW w:w="30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Rekabet ve Pazar Tarama Raporu</w:t>
            </w:r>
          </w:p>
        </w:tc>
        <w:tc>
          <w:tcPr>
            <w:tcW w:w="30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Rakip konumlandırmasını ve 23.09.2026 tarihli pazar taramasını belgelendirmek.</w:t>
            </w:r>
          </w:p>
        </w:tc>
        <w:tc>
          <w:tcPr>
            <w:tcW w:w="30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Google Maps, Apple Maps, Yandex, Waze, Kurviger, calimoto, Motoseyir, MotoAtlas, Optiyol, HERE karşılaştırması; Türkiye desteği; motosiklet rota/ETA; canlı trafik; virajlı rota; çok duraklı optimizasyon; B2B/API; fiyat; kaynak linkleri ve erişim tarihleri; ekran görüntüleri. 'Ürün tespit edilmedi' sonucunun kamuya açık taramaya dayandığı belirtilmeli.</w:t>
            </w:r>
          </w:p>
        </w:tc>
      </w:tr>
      <w:tr>
        <w:trPr>
          <w:cantSplit w:val="true"/>
        </w:trPr>
        <w:tc>
          <w:tcPr>
            <w:tcW w:w="30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Ek-D</w:t>
            </w:r>
          </w:p>
        </w:tc>
        <w:tc>
          <w:tcPr>
            <w:tcW w:w="30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Kesin gerekli</w:t>
            </w:r>
          </w:p>
        </w:tc>
        <w:tc>
          <w:tcPr>
            <w:tcW w:w="30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Finansal Fizibilite ve Müşteri Edinim Modeli</w:t>
            </w:r>
          </w:p>
        </w:tc>
        <w:tc>
          <w:tcPr>
            <w:tcW w:w="30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78 aylık gelir, kullanıcı, maliyet ve SOM projeksiyonlarını yeniden üretilebilir biçimde göstermek.</w:t>
            </w:r>
          </w:p>
        </w:tc>
        <w:tc>
          <w:tcPr>
            <w:tcW w:w="30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Ay bazında MAU; ücretli dönüşüm (%6 taban, %4-10 aralık); Gold/Platinum karması; aylık/yıllık plan karması; churn; CAC; Silver reklam ARPU; filo koltukları; fiyatlar; mağaza komisyonu; teknik birim maliyetler; sabit giderler; 5. yıl 26.135 MAU, yaklaşık 1.568 ücretli kullanıcı, 321 filo koltuğu ve yaklaşık 2,83 milyon TL komisyon sonrası gelir hesabı; Monte Carlo girdileri/çıktıları.</w:t>
            </w:r>
          </w:p>
        </w:tc>
      </w:tr>
      <w:tr>
        <w:trPr>
          <w:cantSplit w:val="true"/>
        </w:trPr>
        <w:tc>
          <w:tcPr>
            <w:tcW w:w="30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Ek-E</w:t>
            </w:r>
          </w:p>
        </w:tc>
        <w:tc>
          <w:tcPr>
            <w:tcW w:w="30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Kesin gerekli</w:t>
            </w:r>
          </w:p>
        </w:tc>
        <w:tc>
          <w:tcPr>
            <w:tcW w:w="30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Nakit Akışı, Runway ve Finansman Senaryoları</w:t>
            </w:r>
          </w:p>
        </w:tc>
        <w:tc>
          <w:tcPr>
            <w:tcW w:w="30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Şirketin nakit pistini ve dış finansman ihtiyacını ay bazında göstermek.</w:t>
            </w:r>
          </w:p>
        </w:tc>
        <w:tc>
          <w:tcPr>
            <w:tcW w:w="30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Başlangıç nakdi; BİGG yatırımı; kurucu sermayesi; gelir kalemleri; personel, trafik lisansı, sunucu, pazarlama, danışmanlık ve diğer giderler; ay sonu nakit; kritik nakit ayı; güvenli taban senaryo ve ek yatırım senaryosu. Melek/BİGG+ gibi kesinleşmemiş finansman taban senaryoya kesin gelir yazılmamalı.</w:t>
            </w:r>
          </w:p>
        </w:tc>
      </w:tr>
      <w:tr>
        <w:trPr>
          <w:cantSplit w:val="true"/>
        </w:trPr>
        <w:tc>
          <w:tcPr>
            <w:tcW w:w="30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Ek-F</w:t>
            </w:r>
          </w:p>
        </w:tc>
        <w:tc>
          <w:tcPr>
            <w:tcW w:w="30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Destekleyici</w:t>
            </w:r>
          </w:p>
        </w:tc>
        <w:tc>
          <w:tcPr>
            <w:tcW w:w="30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Pazar Verileri ve Resmi Kaynak Dosyası</w:t>
            </w:r>
          </w:p>
        </w:tc>
        <w:tc>
          <w:tcPr>
            <w:tcW w:w="30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İş planındaki pazar büyüklüğü ve sosyal fayda rakamlarının kaynaklarını tek yerde toplamak.</w:t>
            </w:r>
          </w:p>
        </w:tc>
        <w:tc>
          <w:tcPr>
            <w:tcW w:w="30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TÜİK motosiklet sayıları; İstanbul/İzmir/Antalya verileri; 2021 parkı; 2025 yeni tescil verileri; kurye taşıtı ve çok taşıtlı işletme hesabı; INRIX 2025; Eurostat İtalya-İspanya verisi; trafik ölüm istatistikleri; motokurye ölüm verisi; Google Trends mevsimsellik çıktısı; kaynak linkleri ve erişim tarihleri.</w:t>
            </w:r>
          </w:p>
        </w:tc>
      </w:tr>
      <w:tr>
        <w:trPr>
          <w:cantSplit w:val="true"/>
        </w:trPr>
        <w:tc>
          <w:tcPr>
            <w:tcW w:w="30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Ek-G</w:t>
            </w:r>
          </w:p>
        </w:tc>
        <w:tc>
          <w:tcPr>
            <w:tcW w:w="30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Destekleyici</w:t>
            </w:r>
          </w:p>
        </w:tc>
        <w:tc>
          <w:tcPr>
            <w:tcW w:w="30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Fiyat, Komisyon ve Maliyet Kaynakları</w:t>
            </w:r>
          </w:p>
        </w:tc>
        <w:tc>
          <w:tcPr>
            <w:tcW w:w="30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Fiyatlandırma ve birim maliyet varsayımlarının dış kaynaklarını desteklemek.</w:t>
            </w:r>
          </w:p>
        </w:tc>
        <w:tc>
          <w:tcPr>
            <w:tcW w:w="30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Kurviger/MotoAtlas/Motoseyir fiyat ekranları; Apple Small Business Program komisyon kaynağı; Google Play abonelik komisyonu; Google Geocoding fiyatı; USD/TRY varsayımı ve tarihi; kurumsal rakip maliyet kaynakları; 450 durak/ay varsayımının açıklaması; Gold 99 TL ve Platinum 199 TL fiyat kararının tarihli iç notu.</w:t>
            </w:r>
          </w:p>
        </w:tc>
      </w:tr>
      <w:tr>
        <w:trPr>
          <w:cantSplit w:val="true"/>
        </w:trPr>
        <w:tc>
          <w:tcPr>
            <w:tcW w:w="30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Ek-H</w:t>
            </w:r>
          </w:p>
        </w:tc>
        <w:tc>
          <w:tcPr>
            <w:tcW w:w="30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Kesin gerekli</w:t>
            </w:r>
          </w:p>
        </w:tc>
        <w:tc>
          <w:tcPr>
            <w:tcW w:w="30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Kullanıcı İhtiyacı ve Nitel İçerik Analizi</w:t>
            </w:r>
          </w:p>
        </w:tc>
        <w:tc>
          <w:tcPr>
            <w:tcW w:w="30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Müşteri problemlerinin 2023-2026 dönemindeki 1.870 kamuya açık Türkçe içerikten nasıl çıkarıldığını göstermek.</w:t>
            </w:r>
          </w:p>
        </w:tc>
        <w:tc>
          <w:tcPr>
            <w:tcW w:w="30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Veri kaynakları/platformlar; tarih aralığı; dahil etme/dışlama kriterleri; tekrar temizliği; sürücü/kurye ayrımı; kodlama yöntemi; tema ve frekans tabloları; otomobil mantığı, uygulama arızası, trafik cezası, zaman kaybı ve kazanç baskısı gibi temaların örnekleri. Kullanıcı adları mümkünse anonimleştirilmeli.</w:t>
            </w:r>
          </w:p>
        </w:tc>
      </w:tr>
      <w:tr>
        <w:trPr>
          <w:cantSplit w:val="true"/>
        </w:trPr>
        <w:tc>
          <w:tcPr>
            <w:tcW w:w="30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Ek-I</w:t>
            </w:r>
          </w:p>
        </w:tc>
        <w:tc>
          <w:tcPr>
            <w:tcW w:w="30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Destekleyici</w:t>
            </w:r>
          </w:p>
        </w:tc>
        <w:tc>
          <w:tcPr>
            <w:tcW w:w="30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KVKK, Etik ve Veri Yönetişimi Paketi</w:t>
            </w:r>
          </w:p>
        </w:tc>
        <w:tc>
          <w:tcPr>
            <w:tcW w:w="30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Sürüş verisi, reklam SDK'ları ve kullanıcı verilerinin nasıl yönetileceğini göstermek.</w:t>
            </w:r>
          </w:p>
        </w:tc>
        <w:tc>
          <w:tcPr>
            <w:tcW w:w="30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Veri envanteri; veri işleme amaçları ve hukuki dayanaklar; KVKK aydınlatma taslağı; sürüş verisi/onam metni; gizlilik politikası; saklama/silme süreleri; üçüncü taraf SDK veri akışı; ATT/Android reklam kimliği yaklaşımı; veri akış şeması; etik kurul başvuru taslağı/checklist; sızma testi planı.</w:t>
            </w:r>
          </w:p>
        </w:tc>
      </w:tr>
      <w:tr>
        <w:trPr>
          <w:cantSplit w:val="true"/>
        </w:trPr>
        <w:tc>
          <w:tcPr>
            <w:tcW w:w="30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Ek-J</w:t>
            </w:r>
          </w:p>
        </w:tc>
        <w:tc>
          <w:tcPr>
            <w:tcW w:w="30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Destekleyici</w:t>
            </w:r>
          </w:p>
        </w:tc>
        <w:tc>
          <w:tcPr>
            <w:tcW w:w="30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Mevcut Ürün / MVP Hazırlık Dosyası</w:t>
            </w:r>
          </w:p>
        </w:tc>
        <w:tc>
          <w:tcPr>
            <w:tcW w:w="30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Ürünün bugün çalışan gelişmiş prototip seviyesinde olduğunu ve soft launch'a giden yolu göstermek.</w:t>
            </w:r>
          </w:p>
        </w:tc>
        <w:tc>
          <w:tcPr>
            <w:tcW w:w="30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Güncel uygulama ekran görüntüleri; demo video/QR/link; İstanbul ve İzmir/İYTE çevresinden çalışan rota örnekleri; yüksek seviyeli mimari; çalışan özellikler / geliştirilmekte olanlar / bilinen bug'lar; sürüm ve commit bilgisi; Ay 6 soft launch'a kadar kapanacak kritik hata listesi.</w:t>
            </w:r>
          </w:p>
        </w:tc>
      </w:tr>
      <w:tr>
        <w:trPr>
          <w:cantSplit w:val="true"/>
        </w:trPr>
        <w:tc>
          <w:tcPr>
            <w:tcW w:w="30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Ek-K</w:t>
            </w:r>
          </w:p>
        </w:tc>
        <w:tc>
          <w:tcPr>
            <w:tcW w:w="30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Destekleyici</w:t>
            </w:r>
          </w:p>
        </w:tc>
        <w:tc>
          <w:tcPr>
            <w:tcW w:w="30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Müşteri Keşfi ve B2B Pilot Paketi</w:t>
            </w:r>
          </w:p>
        </w:tc>
        <w:tc>
          <w:tcPr>
            <w:tcW w:w="30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B2C doğrulama ve B2B pilot planının uygulanabilirliğini göstermek.</w:t>
            </w:r>
          </w:p>
        </w:tc>
        <w:tc>
          <w:tcPr>
            <w:tcW w:w="30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60 işletmelik hedef listenin uygun/anonimleştirilmiş versiyonu; 15-20 keşif görüşmesi soru seti; 150 sürücü + 100 kurye anket taslağı; 20 kurye/8 hafta pilot protokolü; KPI'lar; önce/sonra km ve durak başına mesafe ölçüm formu; pilot/LOI taslağı; varsa yapılan görüşmelerin tarih-kurum-durum kaydı.</w:t>
            </w:r>
          </w:p>
        </w:tc>
      </w:tr>
      <w:tr>
        <w:trPr>
          <w:cantSplit w:val="true"/>
        </w:trPr>
        <w:tc>
          <w:tcPr>
            <w:tcW w:w="30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Ek-L</w:t>
            </w:r>
          </w:p>
        </w:tc>
        <w:tc>
          <w:tcPr>
            <w:tcW w:w="30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Destekleyici</w:t>
            </w:r>
          </w:p>
        </w:tc>
        <w:tc>
          <w:tcPr>
            <w:tcW w:w="30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Ekip Özgeçmişleri ve Yetkinlik Kanıtları</w:t>
            </w:r>
          </w:p>
        </w:tc>
        <w:tc>
          <w:tcPr>
            <w:tcW w:w="30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3.1'de anlatılan kurucu ve danışman yetkinliklerini belgelemek.</w:t>
            </w:r>
          </w:p>
        </w:tc>
        <w:tc>
          <w:tcPr>
            <w:tcW w:w="30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Ali Özuysal CV, YetGen sertifikası ve ilgili staj kanıtları; Muhammet Yağcıoğlu CV ve Voltaris rol/katılım kanıtı; Hamidreza Khalaj Zahraei CV; Dr. Tolga Ercan kısa CV/akademik profil ve mümkünse danışmanlık kabul yazısı.</w:t>
            </w:r>
          </w:p>
        </w:tc>
      </w:tr>
      <w:tr>
        <w:trPr>
          <w:cantSplit w:val="true"/>
        </w:trPr>
        <w:tc>
          <w:tcPr>
            <w:tcW w:w="30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Ek-M</w:t>
            </w:r>
          </w:p>
        </w:tc>
        <w:tc>
          <w:tcPr>
            <w:tcW w:w="30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Destekleyici</w:t>
            </w:r>
          </w:p>
        </w:tc>
        <w:tc>
          <w:tcPr>
            <w:tcW w:w="30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Fikri Mülkiyet, Marka ve Lisans Paketi</w:t>
            </w:r>
          </w:p>
        </w:tc>
        <w:tc>
          <w:tcPr>
            <w:tcW w:w="30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Kaynak kodu, algoritma, marka ve üçüncü taraf lisans risklerini belgelemek.</w:t>
            </w:r>
          </w:p>
        </w:tc>
        <w:tc>
          <w:tcPr>
            <w:tcW w:w="30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IP katkı/hak sahipliği envanteri; kurucu IP devir sözleşmesi taslağı; açık kaynak bileşen ve lisans listesi; TÜRKPATENT ön tarama ekranı; MotoMap kelime markası ve logo; 2.5'teki patentlerin kaynak sayfaları; faaliyet serbestliği ön tarama yöntemi ve 'vekil görüşü değildir' notu; profesyonel FTO görüşü için kapsam.</w:t>
            </w:r>
          </w:p>
        </w:tc>
      </w:tr>
      <w:tr>
        <w:trPr>
          <w:cantSplit w:val="true"/>
        </w:trPr>
        <w:tc>
          <w:tcPr>
            <w:tcW w:w="30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Ek-N</w:t>
            </w:r>
          </w:p>
        </w:tc>
        <w:tc>
          <w:tcPr>
            <w:tcW w:w="30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Kesin gerekli</w:t>
            </w:r>
          </w:p>
        </w:tc>
        <w:tc>
          <w:tcPr>
            <w:tcW w:w="30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Hamidreza Eğitim ve Başarı Belgeleri</w:t>
            </w:r>
          </w:p>
        </w:tc>
        <w:tc>
          <w:tcPr>
            <w:tcW w:w="30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3.1'deki eğitim ve bölüm birinciliği bilgisini desteklemek.</w:t>
            </w:r>
          </w:p>
        </w:tc>
        <w:tc>
          <w:tcPr>
            <w:tcW w:w="30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Diploma ve transkript. 'İYTE İnşaat Mühendisliği'nden bölüm birincisi' ifadesi kullanılacaksa transkript bunu açıkça göstermiyorsa resmi bölüm birinciliği belgesi veya üniversite yazısı da eklenmeli.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>
          <w:b/>
        </w:rPr>
        <w:t xml:space="preserve">Önerilen hazırlama sırası: </w:t>
      </w:r>
      <w:r>
        <w:rPr/>
        <w:t xml:space="preserve">Önce Ek-A, B, C, D, E, H ve N; ardından F, G, I, J, K, L ve M. </w:t>
      </w:r>
      <w:r>
        <w:rPr>
          <w:b/>
        </w:rPr>
        <w:t xml:space="preserve">Not: </w:t>
      </w:r>
      <w:r>
        <w:rPr/>
        <w:t>Ana iş planında yalnız gerçekten hazırlanmış ve PRODİS'e yüklenecek bir belge için 'Ek-X' atfı bırakılması önerilir. Hazırlanmayacak destekleyici ekler için ana metinde yeni atıf oluşturulmamalıdır.</w:t>
      </w:r>
    </w:p>
    <w:sectPr>
      <w:footerReference w:type="even" r:id="rId2"/>
      <w:footerReference w:type="default" r:id="rId3"/>
      <w:footerReference w:type="first" r:id="rId4"/>
      <w:type w:val="nextPage"/>
      <w:pgSz w:orient="landscape" w:w="16838" w:h="11906"/>
      <w:pgMar w:left="794" w:right="794" w:gutter="0" w:header="0" w:top="794" w:footer="720" w:bottom="79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Aptos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ptos Display">
    <w:charset w:val="00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sz w:val="16"/>
      </w:rPr>
      <w:t>MotoMap AGY 112 - Ekler Rehberi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sz w:val="16"/>
      </w:rPr>
      <w:t>MotoMap AGY 112 - Ekler Rehberi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Aptos" w:hAnsi="Aptos" w:eastAsia="ＭＳ 明朝" w:cs="" w:cstheme="minorBidi" w:eastAsiaTheme="minorEastAsia"/>
      <w:color w:val="auto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MotoTitle" w:customStyle="1">
    <w:name w:val="MotoTitle"/>
    <w:qFormat/>
    <w:pPr>
      <w:widowControl/>
      <w:bidi w:val="0"/>
      <w:spacing w:lineRule="auto" w:line="276" w:before="0" w:after="200"/>
      <w:jc w:val="left"/>
    </w:pPr>
    <w:rPr>
      <w:rFonts w:ascii="Aptos Display" w:hAnsi="Aptos Display" w:eastAsia="ＭＳ 明朝" w:cs="" w:cstheme="minorBidi" w:eastAsiaTheme="minorEastAsia"/>
      <w:b/>
      <w:color w:val="auto"/>
      <w:kern w:val="0"/>
      <w:sz w:val="36"/>
      <w:szCs w:val="22"/>
      <w:lang w:val="en-US" w:eastAsia="en-US" w:bidi="ar-SA"/>
    </w:rPr>
  </w:style>
  <w:style w:type="paragraph" w:styleId="MotoSubtitle" w:customStyle="1">
    <w:name w:val="MotoSubtitle"/>
    <w:qFormat/>
    <w:pPr>
      <w:widowControl/>
      <w:bidi w:val="0"/>
      <w:spacing w:lineRule="auto" w:line="276" w:before="0" w:after="200"/>
      <w:jc w:val="left"/>
    </w:pPr>
    <w:rPr>
      <w:rFonts w:ascii="Aptos" w:hAnsi="Aptos" w:eastAsia="ＭＳ 明朝" w:cs="" w:cstheme="minorBidi" w:eastAsiaTheme="minorEastAsia"/>
      <w:i/>
      <w:color w:val="auto"/>
      <w:kern w:val="0"/>
      <w:sz w:val="20"/>
      <w:szCs w:val="22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LibreOffice/25.2.3.2$Linux_X86_64 LibreOffice_project/520$Build-2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