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FishNET Statistical Methodology &amp; Data Analytics Blueprint</w:t>
      </w:r>
    </w:p>
    <w:p>
      <w:pPr>
        <w:spacing w:after="280"/>
      </w:pPr>
      <w:r>
        <w:rPr>
          <w:rFonts w:ascii="Calibri" w:hAnsi="Calibri"/>
          <w:i/>
          <w:color w:val="475569"/>
          <w:sz w:val="22"/>
        </w:rPr>
        <w:t>A Comprehensive, Plain-English Guide to the Data Engineering, Inbreeding Mathematics, Piecewise Senescence, and Harmonic Seasonality Models Powering the Portal</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pPr>
              <w:spacing w:after="80"/>
            </w:pPr>
            <w:r>
              <w:rPr>
                <w:b/>
                <w:color w:val="1E3A8A"/>
                <w:sz w:val="21"/>
              </w:rPr>
              <w:t>Executive Scope &amp; Dataset Baseline</w:t>
              <w:br/>
            </w:r>
            <w:r>
              <w:rPr>
                <w:color w:val="334155"/>
                <w:sz w:val="19"/>
              </w:rPr>
              <w:t>• Unified Dataset: 3 consecutive years of breeding records (2024, 2025, 2026).</w:t>
              <w:br/>
              <w:t>• Facility Scale: 183 physical tanks (117 active, 63 euthanized, 3 nursery), 2,233 validated breeding events, 1,252,045 total eggs tracked.</w:t>
              <w:br/>
              <w:t>• Biological Boundaries: 1.7L breeding tanks (max welfare capacity 9 fish; optimal density 5 fish/L, threshold 7 fish/L).</w:t>
              <w:br/>
              <w:t>• Core Palette: AB (Wild-Type - Green), Casper (Mutant - Yellow), Fli (Transgenic - Pink), Gata (Transgenic - Blue).</w:t>
            </w:r>
          </w:p>
        </w:tc>
      </w:tr>
    </w:tbl>
    <w:p>
      <w:pPr>
        <w:spacing w:after="120"/>
      </w:pPr>
    </w:p>
    <w:p>
      <w:pPr>
        <w:keepNext/>
        <w:spacing w:before="280" w:after="80"/>
      </w:pPr>
      <w:r>
        <w:rPr>
          <w:rFonts w:ascii="Calibri" w:hAnsi="Calibri"/>
          <w:b/>
          <w:color w:val="1E3A8A"/>
          <w:sz w:val="28"/>
        </w:rPr>
        <w:t>Phase 1: Data Engineering &amp; Cleaning (Taming Raw Paper Logs)</w:t>
      </w:r>
    </w:p>
    <w:p>
      <w:pPr>
        <w:spacing w:before="0" w:after="80" w:line="276" w:lineRule="auto"/>
      </w:pPr>
      <w:r>
        <w:rPr>
          <w:rFonts w:ascii="Calibri" w:hAnsi="Calibri"/>
          <w:i w:val="0"/>
          <w:color w:val="334155"/>
          <w:sz w:val="20"/>
        </w:rPr>
        <w:t>Laboratory records collected by multiple technicians over 36 months naturally contain variations in naming, formatting, and handwritten reporting. To convert these records into a mathematically rigorous dataset, we executed automated data cleaning pipelines.</w:t>
      </w:r>
    </w:p>
    <w:p>
      <w:pPr>
        <w:keepNext/>
        <w:spacing w:before="200" w:after="60"/>
      </w:pPr>
      <w:r>
        <w:rPr>
          <w:rFonts w:ascii="Calibri" w:hAnsi="Calibri"/>
          <w:b/>
          <w:color w:val="0E7490"/>
          <w:sz w:val="24"/>
        </w:rPr>
        <w:t>1. Standardization of Genetic Line Classifications</w:t>
      </w:r>
    </w:p>
    <w:p>
      <w:pPr>
        <w:spacing w:before="0" w:after="80" w:line="276" w:lineRule="auto"/>
      </w:pPr>
      <w:r>
        <w:rPr>
          <w:rFonts w:ascii="Calibri" w:hAnsi="Calibri"/>
          <w:i w:val="0"/>
          <w:color w:val="334155"/>
          <w:sz w:val="20"/>
        </w:rPr>
        <w:t>Technicians recorded line names with slight variations (e.g., WT, wild-type, AB T96, gata1a, fli1:egfp). We instituted strict taxonomic harmonization into 4 canonical lines:</w:t>
      </w:r>
    </w:p>
    <w:p>
      <w:pPr>
        <w:spacing w:before="0" w:after="80" w:line="276" w:lineRule="auto"/>
      </w:pPr>
      <w:r>
        <w:rPr>
          <w:rFonts w:ascii="Calibri" w:hAnsi="Calibri"/>
          <w:i w:val="0"/>
          <w:color w:val="334155"/>
          <w:sz w:val="20"/>
        </w:rPr>
        <w:t>• AB (Wild-Type): Standard control lineage, characterized by high fecundity and vigor.</w:t>
      </w:r>
    </w:p>
    <w:p>
      <w:pPr>
        <w:spacing w:before="0" w:after="80" w:line="276" w:lineRule="auto"/>
      </w:pPr>
      <w:r>
        <w:rPr>
          <w:rFonts w:ascii="Calibri" w:hAnsi="Calibri"/>
          <w:i w:val="0"/>
          <w:color w:val="334155"/>
          <w:sz w:val="20"/>
        </w:rPr>
        <w:t>• Casper: Double mutant (nacre -/- ; roy -/-) lacking pigmentation, widely used for whole-body imaging.</w:t>
      </w:r>
    </w:p>
    <w:p>
      <w:pPr>
        <w:spacing w:before="0" w:after="80" w:line="276" w:lineRule="auto"/>
      </w:pPr>
      <w:r>
        <w:rPr>
          <w:rFonts w:ascii="Calibri" w:hAnsi="Calibri"/>
          <w:i w:val="0"/>
          <w:color w:val="334155"/>
          <w:sz w:val="20"/>
        </w:rPr>
        <w:t>• Fli: Transgenic reporter line (Tg(fli1a:EGFP)) expressing green fluorescence in vascular endothelium.</w:t>
      </w:r>
    </w:p>
    <w:p>
      <w:pPr>
        <w:spacing w:before="0" w:after="80" w:line="276" w:lineRule="auto"/>
      </w:pPr>
      <w:r>
        <w:rPr>
          <w:rFonts w:ascii="Calibri" w:hAnsi="Calibri"/>
          <w:i w:val="0"/>
          <w:color w:val="334155"/>
          <w:sz w:val="20"/>
        </w:rPr>
        <w:t>• Gata: Transgenic reporter line (Tg(gata1a:DsRed)) expressing red fluorescence in erythrocytes.</w:t>
      </w:r>
    </w:p>
    <w:p>
      <w:pPr>
        <w:keepNext/>
        <w:spacing w:before="200" w:after="60"/>
      </w:pPr>
      <w:r>
        <w:rPr>
          <w:rFonts w:ascii="Calibri" w:hAnsi="Calibri"/>
          <w:b/>
          <w:color w:val="0E7490"/>
          <w:sz w:val="24"/>
        </w:rPr>
        <w:t>2. Disambiguating Behavioral Failure vs. Biological Mortality</w:t>
      </w:r>
    </w:p>
    <w:p>
      <w:pPr>
        <w:spacing w:before="0" w:after="80" w:line="276" w:lineRule="auto"/>
      </w:pPr>
      <w:r>
        <w:rPr>
          <w:rFonts w:ascii="Calibri" w:hAnsi="Calibri"/>
          <w:i w:val="0"/>
          <w:color w:val="334155"/>
          <w:sz w:val="20"/>
        </w:rPr>
        <w:t>A critical rule in reproductive biology is separating empty spawning setups from embryo non-viability:</w:t>
      </w:r>
    </w:p>
    <w:p>
      <w:pPr>
        <w:spacing w:before="0" w:after="80" w:line="276" w:lineRule="auto"/>
      </w:pPr>
      <w:r>
        <w:rPr>
          <w:rFonts w:ascii="Calibri" w:hAnsi="Calibri"/>
          <w:b/>
          <w:color w:val="1E293B"/>
          <w:sz w:val="20"/>
        </w:rPr>
        <w:t xml:space="preserve">• Mating / Behavioral Failure: </w:t>
      </w:r>
      <w:r>
        <w:rPr>
          <w:rFonts w:ascii="Calibri" w:hAnsi="Calibri"/>
          <w:i w:val="0"/>
          <w:color w:val="334155"/>
          <w:sz w:val="20"/>
        </w:rPr>
        <w:t>When a pair or group is placed in a mating tank but lays no eggs, Total Eggs = 0. This reflects behavioral failure, social incompatibility, missed morning light cues, or juvenile status. It is categorized as Spawning Failure = 1.</w:t>
      </w:r>
    </w:p>
    <w:p>
      <w:pPr>
        <w:spacing w:before="0" w:after="80" w:line="276" w:lineRule="auto"/>
      </w:pPr>
      <w:r>
        <w:rPr>
          <w:rFonts w:ascii="Calibri" w:hAnsi="Calibri"/>
          <w:b/>
          <w:color w:val="1E293B"/>
          <w:sz w:val="20"/>
        </w:rPr>
        <w:t xml:space="preserve">• Biological Embryo Mortality: </w:t>
      </w:r>
      <w:r>
        <w:rPr>
          <w:rFonts w:ascii="Calibri" w:hAnsi="Calibri"/>
          <w:i w:val="0"/>
          <w:color w:val="334155"/>
          <w:sz w:val="20"/>
        </w:rPr>
        <w:t>When a pair lays 800 eggs, but all 800 die by 24 hpf, Total Eggs = 800, Live 24h = 0 (SR% = 0.0%). This reflects physiological failure, overripe oocytes, sperm DNA degradation, or water chemistry shock. It is categorized as Spawning Failure = 0, Viability = 0.0%.</w:t>
      </w:r>
    </w:p>
    <w:p>
      <w:pPr>
        <w:keepNext/>
        <w:spacing w:before="200" w:after="60"/>
      </w:pPr>
      <w:r>
        <w:rPr>
          <w:rFonts w:ascii="Calibri" w:hAnsi="Calibri"/>
          <w:b/>
          <w:color w:val="0E7490"/>
          <w:sz w:val="24"/>
        </w:rPr>
        <w:t>3. Exact Chronological Age Timestamping</w:t>
      </w:r>
    </w:p>
    <w:p>
      <w:pPr>
        <w:spacing w:before="0" w:after="80" w:line="276" w:lineRule="auto"/>
      </w:pPr>
      <w:r>
        <w:rPr>
          <w:rFonts w:ascii="Calibri" w:hAnsi="Calibri"/>
          <w:i w:val="0"/>
          <w:color w:val="334155"/>
          <w:sz w:val="20"/>
        </w:rPr>
        <w:t>Instead of estimating generation age in broad years, we paired the recorded Date of Birth (DOB) of each tank label with the exact timestamp of every spawning event to calculate precise age in months:</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Parental Age (Months) = (Spawn Date - Tank DOB) / 30.4375 days</w:t>
              <w:br/>
            </w:r>
            <w:r>
              <w:rPr>
                <w:rFonts w:ascii="Calibri" w:hAnsi="Calibri"/>
                <w:color w:val="64748B"/>
                <w:sz w:val="18"/>
              </w:rPr>
              <w:t>Calculates exact chronological age on the morning of mating, eliminating generational slippage.</w:t>
            </w:r>
          </w:p>
        </w:tc>
      </w:tr>
    </w:tbl>
    <w:p>
      <w:pPr>
        <w:spacing w:after="80"/>
      </w:pPr>
    </w:p>
    <w:p>
      <w:pPr>
        <w:keepNext/>
        <w:spacing w:before="280" w:after="80"/>
      </w:pPr>
      <w:r>
        <w:rPr>
          <w:rFonts w:ascii="Calibri" w:hAnsi="Calibri"/>
          <w:b/>
          <w:color w:val="1E3A8A"/>
          <w:sz w:val="28"/>
        </w:rPr>
        <w:t>Phase 2: Core Descriptive Statistics &amp; Benchmarking</w:t>
      </w:r>
    </w:p>
    <w:p>
      <w:pPr>
        <w:spacing w:before="0" w:after="80" w:line="276" w:lineRule="auto"/>
      </w:pPr>
      <w:r>
        <w:rPr>
          <w:rFonts w:ascii="Calibri" w:hAnsi="Calibri"/>
          <w:i w:val="0"/>
          <w:color w:val="334155"/>
          <w:sz w:val="20"/>
        </w:rPr>
        <w:t>We computed global and line-specific reproductive benchmarks across all 2,233 spawning runs:</w:t>
      </w:r>
    </w:p>
    <w:p>
      <w:pPr>
        <w:keepNext/>
        <w:spacing w:before="200" w:after="60"/>
      </w:pPr>
      <w:r>
        <w:rPr>
          <w:rFonts w:ascii="Calibri" w:hAnsi="Calibri"/>
          <w:b/>
          <w:color w:val="0E7490"/>
          <w:sz w:val="24"/>
        </w:rPr>
        <w:t>1. Mathematical Formulations</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Mean Clutch Size = Total Eggs Collected at 0hpf / Total Spawning Runs</w:t>
              <w:br/>
              <w:t>24hpf Survival Rate (SR%) = (Live Healthy Embryos at 24hpf / Total Eggs at 0hpf) * 100</w:t>
              <w:br/>
            </w:r>
            <w:r>
              <w:rPr>
                <w:rFonts w:ascii="Calibri" w:hAnsi="Calibri"/>
                <w:color w:val="64748B"/>
                <w:sz w:val="18"/>
              </w:rPr>
              <w:t>Measures maternal fecundity (egg count) and developmental competence (viability at 24 hours post-fertilization).</w:t>
            </w:r>
          </w:p>
        </w:tc>
      </w:tr>
    </w:tbl>
    <w:p>
      <w:pPr>
        <w:spacing w:after="80"/>
      </w:pPr>
    </w:p>
    <w:p>
      <w:pPr>
        <w:keepNext/>
        <w:spacing w:before="200" w:after="60"/>
      </w:pPr>
      <w:r>
        <w:rPr>
          <w:rFonts w:ascii="Calibri" w:hAnsi="Calibri"/>
          <w:b/>
          <w:color w:val="0E7490"/>
          <w:sz w:val="24"/>
        </w:rPr>
        <w:t>2. Line-by-Line Reproductive Baseline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b/>
                <w:color w:val="FFFFFF"/>
                <w:sz w:val="18"/>
              </w:rPr>
              <w:t>Genetic Line</w:t>
            </w:r>
          </w:p>
        </w:tc>
        <w:tc>
          <w:tcPr>
            <w:tcW w:type="dxa" w:w="1987"/>
            <w:shd w:fill="1E3A8A"/>
            <w:tcMar>
              <w:top w:w="80" w:type="dxa"/>
              <w:bottom w:w="80" w:type="dxa"/>
              <w:left w:w="100" w:type="dxa"/>
              <w:right w:w="100" w:type="dxa"/>
            </w:tcMar>
          </w:tcPr>
          <w:p>
            <w:r>
              <w:rPr>
                <w:b/>
                <w:color w:val="FFFFFF"/>
                <w:sz w:val="18"/>
              </w:rPr>
              <w:t>Total Spawns</w:t>
            </w:r>
          </w:p>
        </w:tc>
        <w:tc>
          <w:tcPr>
            <w:tcW w:type="dxa" w:w="1987"/>
            <w:shd w:fill="1E3A8A"/>
            <w:tcMar>
              <w:top w:w="80" w:type="dxa"/>
              <w:bottom w:w="80" w:type="dxa"/>
              <w:left w:w="100" w:type="dxa"/>
              <w:right w:w="100" w:type="dxa"/>
            </w:tcMar>
          </w:tcPr>
          <w:p>
            <w:r>
              <w:rPr>
                <w:b/>
                <w:color w:val="FFFFFF"/>
                <w:sz w:val="18"/>
              </w:rPr>
              <w:t>Total Eggs</w:t>
            </w:r>
          </w:p>
        </w:tc>
        <w:tc>
          <w:tcPr>
            <w:tcW w:type="dxa" w:w="1987"/>
            <w:shd w:fill="1E3A8A"/>
            <w:tcMar>
              <w:top w:w="80" w:type="dxa"/>
              <w:bottom w:w="80" w:type="dxa"/>
              <w:left w:w="100" w:type="dxa"/>
              <w:right w:w="100" w:type="dxa"/>
            </w:tcMar>
          </w:tcPr>
          <w:p>
            <w:r>
              <w:rPr>
                <w:b/>
                <w:color w:val="FFFFFF"/>
                <w:sz w:val="18"/>
              </w:rPr>
              <w:t>Mean Clutch Size</w:t>
            </w:r>
          </w:p>
        </w:tc>
        <w:tc>
          <w:tcPr>
            <w:tcW w:type="dxa" w:w="1987"/>
            <w:shd w:fill="1E3A8A"/>
            <w:tcMar>
              <w:top w:w="80" w:type="dxa"/>
              <w:bottom w:w="80" w:type="dxa"/>
              <w:left w:w="100" w:type="dxa"/>
              <w:right w:w="100" w:type="dxa"/>
            </w:tcMar>
          </w:tcPr>
          <w:p>
            <w:r>
              <w:rPr>
                <w:b/>
                <w:color w:val="FFFFFF"/>
                <w:sz w:val="18"/>
              </w:rPr>
              <w:t>Mean 24hpf SR%</w:t>
            </w:r>
          </w:p>
        </w:tc>
      </w:tr>
      <w:tr>
        <w:tc>
          <w:tcPr>
            <w:tcW w:type="dxa" w:w="1987"/>
            <w:shd w:fill="FFFFFF"/>
            <w:tcMar>
              <w:top w:w="60" w:type="dxa"/>
              <w:bottom w:w="60" w:type="dxa"/>
              <w:left w:w="100" w:type="dxa"/>
              <w:right w:w="100" w:type="dxa"/>
            </w:tcMar>
          </w:tcPr>
          <w:p>
            <w:r>
              <w:rPr>
                <w:color w:val="334155"/>
                <w:sz w:val="17"/>
              </w:rPr>
              <w:t>AB (Wild-Type)</w:t>
            </w:r>
          </w:p>
        </w:tc>
        <w:tc>
          <w:tcPr>
            <w:tcW w:type="dxa" w:w="1987"/>
            <w:shd w:fill="FFFFFF"/>
            <w:tcMar>
              <w:top w:w="60" w:type="dxa"/>
              <w:bottom w:w="60" w:type="dxa"/>
              <w:left w:w="100" w:type="dxa"/>
              <w:right w:w="100" w:type="dxa"/>
            </w:tcMar>
          </w:tcPr>
          <w:p>
            <w:r>
              <w:rPr>
                <w:color w:val="334155"/>
                <w:sz w:val="17"/>
              </w:rPr>
              <w:t>1,048</w:t>
            </w:r>
          </w:p>
        </w:tc>
        <w:tc>
          <w:tcPr>
            <w:tcW w:type="dxa" w:w="1987"/>
            <w:shd w:fill="FFFFFF"/>
            <w:tcMar>
              <w:top w:w="60" w:type="dxa"/>
              <w:bottom w:w="60" w:type="dxa"/>
              <w:left w:w="100" w:type="dxa"/>
              <w:right w:w="100" w:type="dxa"/>
            </w:tcMar>
          </w:tcPr>
          <w:p>
            <w:r>
              <w:rPr>
                <w:color w:val="334155"/>
                <w:sz w:val="17"/>
              </w:rPr>
              <w:t>685,410</w:t>
            </w:r>
          </w:p>
        </w:tc>
        <w:tc>
          <w:tcPr>
            <w:tcW w:type="dxa" w:w="1987"/>
            <w:shd w:fill="FFFFFF"/>
            <w:tcMar>
              <w:top w:w="60" w:type="dxa"/>
              <w:bottom w:w="60" w:type="dxa"/>
              <w:left w:w="100" w:type="dxa"/>
              <w:right w:w="100" w:type="dxa"/>
            </w:tcMar>
          </w:tcPr>
          <w:p>
            <w:r>
              <w:rPr>
                <w:color w:val="334155"/>
                <w:sz w:val="17"/>
              </w:rPr>
              <w:t>654.0 eggs</w:t>
            </w:r>
          </w:p>
        </w:tc>
        <w:tc>
          <w:tcPr>
            <w:tcW w:type="dxa" w:w="1987"/>
            <w:shd w:fill="FFFFFF"/>
            <w:tcMar>
              <w:top w:w="60" w:type="dxa"/>
              <w:bottom w:w="60" w:type="dxa"/>
              <w:left w:w="100" w:type="dxa"/>
              <w:right w:w="100" w:type="dxa"/>
            </w:tcMar>
          </w:tcPr>
          <w:p>
            <w:r>
              <w:rPr>
                <w:color w:val="334155"/>
                <w:sz w:val="17"/>
              </w:rPr>
              <w:t>79.8%</w:t>
            </w:r>
          </w:p>
        </w:tc>
      </w:tr>
      <w:tr>
        <w:tc>
          <w:tcPr>
            <w:tcW w:type="dxa" w:w="1987"/>
            <w:shd w:fill="F8FAFC"/>
            <w:tcMar>
              <w:top w:w="60" w:type="dxa"/>
              <w:bottom w:w="60" w:type="dxa"/>
              <w:left w:w="100" w:type="dxa"/>
              <w:right w:w="100" w:type="dxa"/>
            </w:tcMar>
          </w:tcPr>
          <w:p>
            <w:r>
              <w:rPr>
                <w:color w:val="334155"/>
                <w:sz w:val="17"/>
              </w:rPr>
              <w:t>Casper (Mutant)</w:t>
            </w:r>
          </w:p>
        </w:tc>
        <w:tc>
          <w:tcPr>
            <w:tcW w:type="dxa" w:w="1987"/>
            <w:shd w:fill="F8FAFC"/>
            <w:tcMar>
              <w:top w:w="60" w:type="dxa"/>
              <w:bottom w:w="60" w:type="dxa"/>
              <w:left w:w="100" w:type="dxa"/>
              <w:right w:w="100" w:type="dxa"/>
            </w:tcMar>
          </w:tcPr>
          <w:p>
            <w:r>
              <w:rPr>
                <w:color w:val="334155"/>
                <w:sz w:val="17"/>
              </w:rPr>
              <w:t>382</w:t>
            </w:r>
          </w:p>
        </w:tc>
        <w:tc>
          <w:tcPr>
            <w:tcW w:type="dxa" w:w="1987"/>
            <w:shd w:fill="F8FAFC"/>
            <w:tcMar>
              <w:top w:w="60" w:type="dxa"/>
              <w:bottom w:w="60" w:type="dxa"/>
              <w:left w:w="100" w:type="dxa"/>
              <w:right w:w="100" w:type="dxa"/>
            </w:tcMar>
          </w:tcPr>
          <w:p>
            <w:r>
              <w:rPr>
                <w:color w:val="334155"/>
                <w:sz w:val="17"/>
              </w:rPr>
              <w:t>183,210</w:t>
            </w:r>
          </w:p>
        </w:tc>
        <w:tc>
          <w:tcPr>
            <w:tcW w:type="dxa" w:w="1987"/>
            <w:shd w:fill="F8FAFC"/>
            <w:tcMar>
              <w:top w:w="60" w:type="dxa"/>
              <w:bottom w:w="60" w:type="dxa"/>
              <w:left w:w="100" w:type="dxa"/>
              <w:right w:w="100" w:type="dxa"/>
            </w:tcMar>
          </w:tcPr>
          <w:p>
            <w:r>
              <w:rPr>
                <w:color w:val="334155"/>
                <w:sz w:val="17"/>
              </w:rPr>
              <w:t>479.6 eggs</w:t>
            </w:r>
          </w:p>
        </w:tc>
        <w:tc>
          <w:tcPr>
            <w:tcW w:type="dxa" w:w="1987"/>
            <w:shd w:fill="F8FAFC"/>
            <w:tcMar>
              <w:top w:w="60" w:type="dxa"/>
              <w:bottom w:w="60" w:type="dxa"/>
              <w:left w:w="100" w:type="dxa"/>
              <w:right w:w="100" w:type="dxa"/>
            </w:tcMar>
          </w:tcPr>
          <w:p>
            <w:r>
              <w:rPr>
                <w:color w:val="334155"/>
                <w:sz w:val="17"/>
              </w:rPr>
              <w:t>74.1%</w:t>
            </w:r>
          </w:p>
        </w:tc>
      </w:tr>
      <w:tr>
        <w:tc>
          <w:tcPr>
            <w:tcW w:type="dxa" w:w="1987"/>
            <w:shd w:fill="FFFFFF"/>
            <w:tcMar>
              <w:top w:w="60" w:type="dxa"/>
              <w:bottom w:w="60" w:type="dxa"/>
              <w:left w:w="100" w:type="dxa"/>
              <w:right w:w="100" w:type="dxa"/>
            </w:tcMar>
          </w:tcPr>
          <w:p>
            <w:r>
              <w:rPr>
                <w:color w:val="334155"/>
                <w:sz w:val="17"/>
              </w:rPr>
              <w:t>Fli (Transgenic)</w:t>
            </w:r>
          </w:p>
        </w:tc>
        <w:tc>
          <w:tcPr>
            <w:tcW w:type="dxa" w:w="1987"/>
            <w:shd w:fill="FFFFFF"/>
            <w:tcMar>
              <w:top w:w="60" w:type="dxa"/>
              <w:bottom w:w="60" w:type="dxa"/>
              <w:left w:w="100" w:type="dxa"/>
              <w:right w:w="100" w:type="dxa"/>
            </w:tcMar>
          </w:tcPr>
          <w:p>
            <w:r>
              <w:rPr>
                <w:color w:val="334155"/>
                <w:sz w:val="17"/>
              </w:rPr>
              <w:t>412</w:t>
            </w:r>
          </w:p>
        </w:tc>
        <w:tc>
          <w:tcPr>
            <w:tcW w:type="dxa" w:w="1987"/>
            <w:shd w:fill="FFFFFF"/>
            <w:tcMar>
              <w:top w:w="60" w:type="dxa"/>
              <w:bottom w:w="60" w:type="dxa"/>
              <w:left w:w="100" w:type="dxa"/>
              <w:right w:w="100" w:type="dxa"/>
            </w:tcMar>
          </w:tcPr>
          <w:p>
            <w:r>
              <w:rPr>
                <w:color w:val="334155"/>
                <w:sz w:val="17"/>
              </w:rPr>
              <w:t>210,125</w:t>
            </w:r>
          </w:p>
        </w:tc>
        <w:tc>
          <w:tcPr>
            <w:tcW w:type="dxa" w:w="1987"/>
            <w:shd w:fill="FFFFFF"/>
            <w:tcMar>
              <w:top w:w="60" w:type="dxa"/>
              <w:bottom w:w="60" w:type="dxa"/>
              <w:left w:w="100" w:type="dxa"/>
              <w:right w:w="100" w:type="dxa"/>
            </w:tcMar>
          </w:tcPr>
          <w:p>
            <w:r>
              <w:rPr>
                <w:color w:val="334155"/>
                <w:sz w:val="17"/>
              </w:rPr>
              <w:t>510.0 eggs</w:t>
            </w:r>
          </w:p>
        </w:tc>
        <w:tc>
          <w:tcPr>
            <w:tcW w:type="dxa" w:w="1987"/>
            <w:shd w:fill="FFFFFF"/>
            <w:tcMar>
              <w:top w:w="60" w:type="dxa"/>
              <w:bottom w:w="60" w:type="dxa"/>
              <w:left w:w="100" w:type="dxa"/>
              <w:right w:w="100" w:type="dxa"/>
            </w:tcMar>
          </w:tcPr>
          <w:p>
            <w:r>
              <w:rPr>
                <w:color w:val="334155"/>
                <w:sz w:val="17"/>
              </w:rPr>
              <w:t>76.4%</w:t>
            </w:r>
          </w:p>
        </w:tc>
      </w:tr>
      <w:tr>
        <w:tc>
          <w:tcPr>
            <w:tcW w:type="dxa" w:w="1987"/>
            <w:shd w:fill="F8FAFC"/>
            <w:tcMar>
              <w:top w:w="60" w:type="dxa"/>
              <w:bottom w:w="60" w:type="dxa"/>
              <w:left w:w="100" w:type="dxa"/>
              <w:right w:w="100" w:type="dxa"/>
            </w:tcMar>
          </w:tcPr>
          <w:p>
            <w:r>
              <w:rPr>
                <w:color w:val="334155"/>
                <w:sz w:val="17"/>
              </w:rPr>
              <w:t>Gata (Transgenic)</w:t>
            </w:r>
          </w:p>
        </w:tc>
        <w:tc>
          <w:tcPr>
            <w:tcW w:type="dxa" w:w="1987"/>
            <w:shd w:fill="F8FAFC"/>
            <w:tcMar>
              <w:top w:w="60" w:type="dxa"/>
              <w:bottom w:w="60" w:type="dxa"/>
              <w:left w:w="100" w:type="dxa"/>
              <w:right w:w="100" w:type="dxa"/>
            </w:tcMar>
          </w:tcPr>
          <w:p>
            <w:r>
              <w:rPr>
                <w:color w:val="334155"/>
                <w:sz w:val="17"/>
              </w:rPr>
              <w:t>391</w:t>
            </w:r>
          </w:p>
        </w:tc>
        <w:tc>
          <w:tcPr>
            <w:tcW w:type="dxa" w:w="1987"/>
            <w:shd w:fill="F8FAFC"/>
            <w:tcMar>
              <w:top w:w="60" w:type="dxa"/>
              <w:bottom w:w="60" w:type="dxa"/>
              <w:left w:w="100" w:type="dxa"/>
              <w:right w:w="100" w:type="dxa"/>
            </w:tcMar>
          </w:tcPr>
          <w:p>
            <w:r>
              <w:rPr>
                <w:color w:val="334155"/>
                <w:sz w:val="17"/>
              </w:rPr>
              <w:t>173,300</w:t>
            </w:r>
          </w:p>
        </w:tc>
        <w:tc>
          <w:tcPr>
            <w:tcW w:type="dxa" w:w="1987"/>
            <w:shd w:fill="F8FAFC"/>
            <w:tcMar>
              <w:top w:w="60" w:type="dxa"/>
              <w:bottom w:w="60" w:type="dxa"/>
              <w:left w:w="100" w:type="dxa"/>
              <w:right w:w="100" w:type="dxa"/>
            </w:tcMar>
          </w:tcPr>
          <w:p>
            <w:r>
              <w:rPr>
                <w:color w:val="334155"/>
                <w:sz w:val="17"/>
              </w:rPr>
              <w:t>443.2 eggs</w:t>
            </w:r>
          </w:p>
        </w:tc>
        <w:tc>
          <w:tcPr>
            <w:tcW w:type="dxa" w:w="1987"/>
            <w:shd w:fill="F8FAFC"/>
            <w:tcMar>
              <w:top w:w="60" w:type="dxa"/>
              <w:bottom w:w="60" w:type="dxa"/>
              <w:left w:w="100" w:type="dxa"/>
              <w:right w:w="100" w:type="dxa"/>
            </w:tcMar>
          </w:tcPr>
          <w:p>
            <w:r>
              <w:rPr>
                <w:color w:val="334155"/>
                <w:sz w:val="17"/>
              </w:rPr>
              <w:t>75.2%</w:t>
            </w:r>
          </w:p>
        </w:tc>
      </w:tr>
    </w:tbl>
    <w:p>
      <w:pPr>
        <w:spacing w:after="120"/>
      </w:pPr>
    </w:p>
    <w:p>
      <w:pPr>
        <w:keepNext/>
        <w:spacing w:before="280" w:after="80"/>
      </w:pPr>
      <w:r>
        <w:rPr>
          <w:rFonts w:ascii="Calibri" w:hAnsi="Calibri"/>
          <w:b/>
          <w:color w:val="1E3A8A"/>
          <w:sz w:val="28"/>
        </w:rPr>
        <w:t>Phase 3: Pedigree Mathematics &amp; Inbreeding Coefficients (Paper 1)</w:t>
      </w:r>
    </w:p>
    <w:p>
      <w:pPr>
        <w:spacing w:before="0" w:after="80" w:line="276" w:lineRule="auto"/>
      </w:pPr>
      <w:r>
        <w:rPr>
          <w:rFonts w:ascii="Calibri" w:hAnsi="Calibri"/>
          <w:i w:val="0"/>
          <w:color w:val="334155"/>
          <w:sz w:val="20"/>
        </w:rPr>
        <w:t>To quantify genetic health and prevent inbreeding depression across multi-generational breeding lines, we implemented Henderson's Kinship Matrix algorithm and Wright's Coefficient of Inbreeding (F).</w:t>
      </w:r>
    </w:p>
    <w:p>
      <w:pPr>
        <w:keepNext/>
        <w:spacing w:before="200" w:after="60"/>
      </w:pPr>
      <w:r>
        <w:rPr>
          <w:rFonts w:ascii="Calibri" w:hAnsi="Calibri"/>
          <w:b/>
          <w:color w:val="0E7490"/>
          <w:sz w:val="24"/>
        </w:rPr>
        <w:t>1. Filial Inbreeding Generation Rules (Fn)</w:t>
      </w:r>
    </w:p>
    <w:p>
      <w:pPr>
        <w:spacing w:before="0" w:after="80" w:line="276" w:lineRule="auto"/>
      </w:pPr>
      <w:r>
        <w:rPr>
          <w:rFonts w:ascii="Calibri" w:hAnsi="Calibri"/>
          <w:i w:val="0"/>
          <w:color w:val="334155"/>
          <w:sz w:val="20"/>
        </w:rPr>
        <w:t>• Sibling Cross (In-Tank): Mating between brothers and sisters within the same tank increments the filial generation: F1 -&gt; F2 -&gt; F3.</w:t>
      </w:r>
    </w:p>
    <w:p>
      <w:pPr>
        <w:spacing w:before="0" w:after="80" w:line="276" w:lineRule="auto"/>
      </w:pPr>
      <w:r>
        <w:rPr>
          <w:rFonts w:ascii="Calibri" w:hAnsi="Calibri"/>
          <w:i w:val="0"/>
          <w:color w:val="334155"/>
          <w:sz w:val="20"/>
        </w:rPr>
        <w:t>• Controlled Outcross: Mating a line with an unrelated tank from a different lineage resets the generation counter cleanly back to F1.</w:t>
      </w:r>
    </w:p>
    <w:p>
      <w:pPr>
        <w:keepNext/>
        <w:spacing w:before="200" w:after="60"/>
      </w:pPr>
      <w:r>
        <w:rPr>
          <w:rFonts w:ascii="Calibri" w:hAnsi="Calibri"/>
          <w:b/>
          <w:color w:val="0E7490"/>
          <w:sz w:val="24"/>
        </w:rPr>
        <w:t>2. Henderson's Kinship Matrix (A) &amp; Inbreeding Coefficient (F)</w:t>
      </w:r>
    </w:p>
    <w:p>
      <w:pPr>
        <w:spacing w:before="0" w:after="80" w:line="276" w:lineRule="auto"/>
      </w:pPr>
      <w:r>
        <w:rPr>
          <w:rFonts w:ascii="Calibri" w:hAnsi="Calibri"/>
          <w:i w:val="0"/>
          <w:color w:val="334155"/>
          <w:sz w:val="20"/>
        </w:rPr>
        <w:t>In plain English, the Inbreeding Coefficient (F) represents the probability that two alleles at any given genetic locus are identical by descent (inherited from a common ancestor). It ranges from 0.00 (completely unrelated) to 1.00 (genetically identical clones):</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F(offspring) = 0.5 * A(sire, dam)</w:t>
              <w:br/>
              <w:t>Predicted SR% = Baseline SR% - (Inbreeding Penalty * F) + Setup Modifier</w:t>
              <w:br/>
            </w:r>
            <w:r>
              <w:rPr>
                <w:rFonts w:ascii="Calibri" w:hAnsi="Calibri"/>
                <w:color w:val="64748B"/>
                <w:sz w:val="18"/>
              </w:rPr>
              <w:t>A(sire, dam) is the numerator relationship matrix value computed recursively across all ancestral generations.</w:t>
            </w:r>
          </w:p>
        </w:tc>
      </w:tr>
    </w:tbl>
    <w:p>
      <w:pPr>
        <w:spacing w:after="80"/>
      </w:pPr>
    </w:p>
    <w:p>
      <w:pPr>
        <w:spacing w:before="0" w:after="80" w:line="276" w:lineRule="auto"/>
      </w:pPr>
      <w:r>
        <w:rPr>
          <w:rFonts w:ascii="Calibri" w:hAnsi="Calibri"/>
          <w:i w:val="0"/>
          <w:color w:val="334155"/>
          <w:sz w:val="20"/>
        </w:rPr>
        <w:t>• F = 0.000: Outcross between completely unrelated founders (Optimal vigor).</w:t>
      </w:r>
    </w:p>
    <w:p>
      <w:pPr>
        <w:spacing w:before="0" w:after="80" w:line="276" w:lineRule="auto"/>
      </w:pPr>
      <w:r>
        <w:rPr>
          <w:rFonts w:ascii="Calibri" w:hAnsi="Calibri"/>
          <w:i w:val="0"/>
          <w:color w:val="334155"/>
          <w:sz w:val="20"/>
        </w:rPr>
        <w:t>• F = 0.0625: First-cousin mating (Mild inbreeding).</w:t>
      </w:r>
    </w:p>
    <w:p>
      <w:pPr>
        <w:spacing w:before="0" w:after="80" w:line="276" w:lineRule="auto"/>
      </w:pPr>
      <w:r>
        <w:rPr>
          <w:rFonts w:ascii="Calibri" w:hAnsi="Calibri"/>
          <w:i w:val="0"/>
          <w:color w:val="334155"/>
          <w:sz w:val="20"/>
        </w:rPr>
        <w:t>• F = 0.2500: Full sibling or parent-offspring mating (High inbreeding threshold).</w:t>
      </w:r>
    </w:p>
    <w:p>
      <w:pPr>
        <w:spacing w:before="0" w:after="80" w:line="276" w:lineRule="auto"/>
      </w:pPr>
      <w:r>
        <w:rPr>
          <w:rFonts w:ascii="Calibri" w:hAnsi="Calibri"/>
          <w:i w:val="0"/>
          <w:color w:val="334155"/>
          <w:sz w:val="20"/>
        </w:rPr>
        <w:t>• Statistical Proof: When F &gt;= 0.25, our 3-year data demonstrated a statistically significant 5% to 12% drop in 24hpf embryo survival, justifying the portal's automatic elevated inbreeding alert.</w:t>
      </w:r>
    </w:p>
    <w:p>
      <w:pPr>
        <w:keepNext/>
        <w:spacing w:before="280" w:after="80"/>
      </w:pPr>
      <w:r>
        <w:rPr>
          <w:rFonts w:ascii="Calibri" w:hAnsi="Calibri"/>
          <w:b/>
          <w:color w:val="1E3A8A"/>
          <w:sz w:val="28"/>
        </w:rPr>
        <w:t>Phase 4: Parental Senescence &amp; Breakpoint Regression (Aging Dynamics)</w:t>
      </w:r>
    </w:p>
    <w:p>
      <w:pPr>
        <w:spacing w:before="0" w:after="80" w:line="276" w:lineRule="auto"/>
      </w:pPr>
      <w:r>
        <w:rPr>
          <w:rFonts w:ascii="Calibri" w:hAnsi="Calibri"/>
          <w:i w:val="0"/>
          <w:color w:val="334155"/>
          <w:sz w:val="20"/>
        </w:rPr>
        <w:t>To determine the exact biological expiration window of breeding fish, we applied a Two-Phase Piecewise Breakpoint Regression (Hockey-Stick model) mapping parental age (3 to 30 months) to fecundity and embryo viability.</w:t>
      </w:r>
    </w:p>
    <w:p>
      <w:pPr>
        <w:keepNext/>
        <w:spacing w:before="200" w:after="60"/>
      </w:pPr>
      <w:r>
        <w:rPr>
          <w:rFonts w:ascii="Calibri" w:hAnsi="Calibri"/>
          <w:b/>
          <w:color w:val="0E7490"/>
          <w:sz w:val="24"/>
        </w:rPr>
        <w:t>1. The Two-Phase Piecewise Mathematical Model</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Phase 1 (Age &lt;= Breakpoint): Predicted SR% = Peak Prime Survival Rate</w:t>
              <w:br/>
              <w:t>Phase 2 (Age &gt; Breakpoint):  Predicted SR% = Peak Prime Rate - [Decline Slope * (Age - Breakpoint)]</w:t>
              <w:br/>
            </w:r>
            <w:r>
              <w:rPr>
                <w:rFonts w:ascii="Calibri" w:hAnsi="Calibri"/>
                <w:color w:val="64748B"/>
                <w:sz w:val="18"/>
              </w:rPr>
              <w:t>Determines the inflection point where reproductive senescence begins.</w:t>
            </w:r>
          </w:p>
        </w:tc>
      </w:tr>
    </w:tbl>
    <w:p>
      <w:pPr>
        <w:spacing w:after="80"/>
      </w:pPr>
    </w:p>
    <w:p>
      <w:pPr>
        <w:keepNext/>
        <w:spacing w:before="200" w:after="60"/>
      </w:pPr>
      <w:r>
        <w:rPr>
          <w:rFonts w:ascii="Calibri" w:hAnsi="Calibri"/>
          <w:b/>
          <w:color w:val="0E7490"/>
          <w:sz w:val="24"/>
        </w:rPr>
        <w:t>2. Biological Insights &amp; Facility Policy Formulation</w:t>
      </w:r>
    </w:p>
    <w:p>
      <w:pPr>
        <w:spacing w:before="0" w:after="80" w:line="276" w:lineRule="auto"/>
      </w:pPr>
      <w:r>
        <w:rPr>
          <w:rFonts w:ascii="Calibri" w:hAnsi="Calibri"/>
          <w:i w:val="0"/>
          <w:color w:val="334155"/>
          <w:sz w:val="20"/>
        </w:rPr>
        <w:t>• Peak Window (6 to 14 Months): High and stable fecundity (600–1,200 eggs/clutch) and optimal viability (&gt;80%).</w:t>
      </w:r>
    </w:p>
    <w:p>
      <w:pPr>
        <w:spacing w:before="0" w:after="80" w:line="276" w:lineRule="auto"/>
      </w:pPr>
      <w:r>
        <w:rPr>
          <w:rFonts w:ascii="Calibri" w:hAnsi="Calibri"/>
          <w:i w:val="0"/>
          <w:color w:val="334155"/>
          <w:sz w:val="20"/>
        </w:rPr>
        <w:t>• Inflection Breakpoint (12.4 to 14.0 Months): Viability begins an annual linear decline of ~2.8% per month.</w:t>
      </w:r>
    </w:p>
    <w:p>
      <w:pPr>
        <w:spacing w:before="0" w:after="80" w:line="276" w:lineRule="auto"/>
      </w:pPr>
      <w:r>
        <w:rPr>
          <w:rFonts w:ascii="Calibri" w:hAnsi="Calibri"/>
          <w:i w:val="0"/>
          <w:color w:val="334155"/>
          <w:sz w:val="20"/>
        </w:rPr>
        <w:t>• Late Senescence (&gt;18 Months): Fecundity drops by &gt;40% and embryo viability crashes below 60%.</w:t>
      </w:r>
    </w:p>
    <w:p>
      <w:pPr>
        <w:spacing w:before="0" w:after="80" w:line="276" w:lineRule="auto"/>
      </w:pPr>
      <w:r>
        <w:rPr>
          <w:rFonts w:ascii="Calibri" w:hAnsi="Calibri"/>
          <w:i w:val="0"/>
          <w:color w:val="334155"/>
          <w:sz w:val="20"/>
        </w:rPr>
        <w:t>• Policy Derivation: Scientifically justifies the facility's strict 18-Month Turnover Policy, automatically triggering euthanasia and replenishment alerts in the portal.</w:t>
      </w:r>
    </w:p>
    <w:p>
      <w:pPr>
        <w:keepNext/>
        <w:spacing w:before="280" w:after="80"/>
      </w:pPr>
      <w:r>
        <w:rPr>
          <w:rFonts w:ascii="Calibri" w:hAnsi="Calibri"/>
          <w:b/>
          <w:color w:val="1E3A8A"/>
          <w:sz w:val="28"/>
        </w:rPr>
        <w:t>Phase 5: Spawning Intervals &amp; The 14-Day Overripe Window (SEPP)</w:t>
      </w:r>
    </w:p>
    <w:p>
      <w:pPr>
        <w:spacing w:before="0" w:after="80" w:line="276" w:lineRule="auto"/>
      </w:pPr>
      <w:r>
        <w:rPr>
          <w:rFonts w:ascii="Calibri" w:hAnsi="Calibri"/>
          <w:i w:val="0"/>
          <w:color w:val="334155"/>
          <w:sz w:val="20"/>
        </w:rPr>
        <w:t>Zebrafish are continuous asynchronous ovulators. If mature females are left unbred for extended periods, unreleased mature oocytes become 'overripe' within the ovaries and undergo atresia.</w:t>
      </w:r>
    </w:p>
    <w:p>
      <w:pPr>
        <w:keepNext/>
        <w:spacing w:before="200" w:after="60"/>
      </w:pPr>
      <w:r>
        <w:rPr>
          <w:rFonts w:ascii="Calibri" w:hAnsi="Calibri"/>
          <w:b/>
          <w:color w:val="0E7490"/>
          <w:sz w:val="24"/>
        </w:rPr>
        <w:t>1. Interval Analysis</w:t>
      </w:r>
    </w:p>
    <w:p>
      <w:pPr>
        <w:spacing w:before="0" w:after="80" w:line="276" w:lineRule="auto"/>
      </w:pPr>
      <w:r>
        <w:rPr>
          <w:rFonts w:ascii="Calibri" w:hAnsi="Calibri"/>
          <w:i w:val="0"/>
          <w:color w:val="334155"/>
          <w:sz w:val="20"/>
        </w:rPr>
        <w:t>By tracking the exact number of days elapsed between consecutive spawning events for individual tanks, we discovered:</w:t>
      </w:r>
    </w:p>
    <w:p>
      <w:pPr>
        <w:spacing w:before="0" w:after="80" w:line="276" w:lineRule="auto"/>
      </w:pPr>
      <w:r>
        <w:rPr>
          <w:rFonts w:ascii="Calibri" w:hAnsi="Calibri"/>
          <w:i w:val="0"/>
          <w:color w:val="334155"/>
          <w:sz w:val="20"/>
        </w:rPr>
        <w:t>• Optimal Frequency (7 to 14 Days): Peak fertilization and healthy embryo development.</w:t>
      </w:r>
    </w:p>
    <w:p>
      <w:pPr>
        <w:spacing w:before="0" w:after="80" w:line="276" w:lineRule="auto"/>
      </w:pPr>
      <w:r>
        <w:rPr>
          <w:rFonts w:ascii="Calibri" w:hAnsi="Calibri"/>
          <w:i w:val="0"/>
          <w:color w:val="334155"/>
          <w:sz w:val="20"/>
        </w:rPr>
        <w:t>• Overripe Retention Drop (&gt;14 to 21 Days): Viability declines rapidly as overripe eggs are released alongside newly ovulated eggs.</w:t>
      </w:r>
    </w:p>
    <w:p>
      <w:pPr>
        <w:keepNext/>
        <w:spacing w:before="200" w:after="60"/>
      </w:pPr>
      <w:r>
        <w:rPr>
          <w:rFonts w:ascii="Calibri" w:hAnsi="Calibri"/>
          <w:b/>
          <w:color w:val="0E7490"/>
          <w:sz w:val="24"/>
        </w:rPr>
        <w:t>2. The Staggered Efficient Production Protocol (SEPP)</w:t>
      </w:r>
    </w:p>
    <w:p>
      <w:pPr>
        <w:spacing w:before="0" w:after="80" w:line="276" w:lineRule="auto"/>
      </w:pPr>
      <w:r>
        <w:rPr>
          <w:rFonts w:ascii="Calibri" w:hAnsi="Calibri"/>
          <w:b/>
          <w:color w:val="1E293B"/>
          <w:sz w:val="20"/>
        </w:rPr>
        <w:t xml:space="preserve">• SEPP Workflow: </w:t>
      </w:r>
      <w:r>
        <w:rPr>
          <w:rFonts w:ascii="Calibri" w:hAnsi="Calibri"/>
          <w:i w:val="0"/>
          <w:color w:val="334155"/>
          <w:sz w:val="20"/>
        </w:rPr>
        <w:t>To eliminate the labor bottleneck of setting up the entire colony every week and to prevent egg retention:</w:t>
      </w:r>
    </w:p>
    <w:p>
      <w:pPr>
        <w:spacing w:before="0" w:after="80" w:line="276" w:lineRule="auto"/>
      </w:pPr>
      <w:r>
        <w:rPr>
          <w:rFonts w:ascii="Calibri" w:hAnsi="Calibri"/>
          <w:i w:val="0"/>
          <w:color w:val="334155"/>
          <w:sz w:val="20"/>
        </w:rPr>
        <w:t>The colony is partitioned into Cohort A (bred on odd weeks) and Cohort B (bred on even weeks). No tank exceeds 14 days of rest, eliminating 'throwaway clearing spawns' and cutting weekly technician setup labor by 50%.</w:t>
      </w:r>
    </w:p>
    <w:p>
      <w:pPr>
        <w:keepNext/>
        <w:spacing w:before="280" w:after="80"/>
      </w:pPr>
      <w:r>
        <w:rPr>
          <w:rFonts w:ascii="Calibri" w:hAnsi="Calibri"/>
          <w:b/>
          <w:color w:val="1E3A8A"/>
          <w:sz w:val="28"/>
        </w:rPr>
        <w:t>Phase 6: Multi-Factor Predictive Modeling &amp; Animal Reduction (The 3Rs)</w:t>
      </w:r>
    </w:p>
    <w:p>
      <w:pPr>
        <w:spacing w:before="0" w:after="80" w:line="276" w:lineRule="auto"/>
      </w:pPr>
      <w:r>
        <w:rPr>
          <w:rFonts w:ascii="Calibri" w:hAnsi="Calibri"/>
          <w:i w:val="0"/>
          <w:color w:val="334155"/>
          <w:sz w:val="20"/>
        </w:rPr>
        <w:t>To transition from historical recording to predictive operational forecasting, we unified the biological variables into an integrated forecasting model:</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Predicted Embryos = [Line Baseline - (Beta_Age * Age) + Interval Mod - Season Mod] * Predicted SR%</w:t>
              <w:br/>
            </w:r>
            <w:r>
              <w:rPr>
                <w:rFonts w:ascii="Calibri" w:hAnsi="Calibri"/>
                <w:color w:val="64748B"/>
                <w:sz w:val="18"/>
              </w:rPr>
              <w:t>Powers the Intelligent Mating Planner to forecast exact yield before pairing.</w:t>
            </w:r>
          </w:p>
        </w:tc>
      </w:tr>
    </w:tbl>
    <w:p>
      <w:pPr>
        <w:spacing w:after="80"/>
      </w:pPr>
    </w:p>
    <w:p>
      <w:pPr>
        <w:keepNext/>
        <w:spacing w:before="200" w:after="60"/>
      </w:pPr>
      <w:r>
        <w:rPr>
          <w:rFonts w:ascii="Calibri" w:hAnsi="Calibri"/>
          <w:b/>
          <w:color w:val="0E7490"/>
          <w:sz w:val="24"/>
        </w:rPr>
        <w:t>1. Linear Programming Optimization for the 3Rs (Reduction)</w:t>
      </w:r>
    </w:p>
    <w:p>
      <w:pPr>
        <w:spacing w:before="0" w:after="80" w:line="276" w:lineRule="auto"/>
      </w:pPr>
      <w:r>
        <w:rPr>
          <w:rFonts w:ascii="Calibri" w:hAnsi="Calibri"/>
          <w:b/>
          <w:color w:val="1E293B"/>
          <w:sz w:val="20"/>
        </w:rPr>
        <w:t xml:space="preserve">• Optimization Objective: </w:t>
      </w:r>
      <w:r>
        <w:rPr>
          <w:rFonts w:ascii="Calibri" w:hAnsi="Calibri"/>
          <w:i w:val="0"/>
          <w:color w:val="334155"/>
          <w:sz w:val="20"/>
        </w:rPr>
        <w:t>When a researcher requests 500 viable embryos for experimental microinjection:</w:t>
      </w:r>
    </w:p>
    <w:p>
      <w:pPr>
        <w:spacing w:before="0" w:after="80" w:line="276" w:lineRule="auto"/>
      </w:pPr>
      <w:r>
        <w:rPr>
          <w:rFonts w:ascii="Calibri" w:hAnsi="Calibri"/>
          <w:i w:val="0"/>
          <w:color w:val="334155"/>
          <w:sz w:val="20"/>
        </w:rPr>
        <w:t>Minimize Total Tanks Set Up subject to: Total Predicted Viable Embryos &gt;= Requested Quota, Tank Age &lt;= 18 months, and Rest Interval &gt;= 7 days.</w:t>
      </w:r>
    </w:p>
    <w:p>
      <w:pPr>
        <w:spacing w:before="0" w:after="80" w:line="276" w:lineRule="auto"/>
      </w:pPr>
      <w:r>
        <w:rPr>
          <w:rFonts w:ascii="Calibri" w:hAnsi="Calibri"/>
          <w:b/>
          <w:color w:val="1E293B"/>
          <w:sz w:val="20"/>
        </w:rPr>
        <w:t xml:space="preserve">• Impact: </w:t>
      </w:r>
      <w:r>
        <w:rPr>
          <w:rFonts w:ascii="Calibri" w:hAnsi="Calibri"/>
          <w:i w:val="0"/>
          <w:color w:val="334155"/>
          <w:sz w:val="20"/>
        </w:rPr>
        <w:t>Technicians previously set up 6 to 8 backup tanks (40+ fish) out of uncertainty. The Linear Programming optimizer selects the top 2 highest-probability synergistic tanks, cutting animal usage by 50%–60% and directly fulfilling the 3Rs of animal welfare.</w:t>
      </w:r>
    </w:p>
    <w:p>
      <w:pPr>
        <w:keepNext/>
        <w:spacing w:before="280" w:after="80"/>
      </w:pPr>
      <w:r>
        <w:rPr>
          <w:rFonts w:ascii="Calibri" w:hAnsi="Calibri"/>
          <w:b/>
          <w:color w:val="1E3A8A"/>
          <w:sz w:val="28"/>
        </w:rPr>
        <w:t>Phase 7: Climate Seasonality &amp; Fourier Harmonic Analysis (Paper 2 Q7)</w:t>
      </w:r>
    </w:p>
    <w:p>
      <w:pPr>
        <w:spacing w:before="0" w:after="80" w:line="276" w:lineRule="auto"/>
      </w:pPr>
      <w:r>
        <w:rPr>
          <w:rFonts w:ascii="Calibri" w:hAnsi="Calibri"/>
          <w:i w:val="0"/>
          <w:color w:val="334155"/>
          <w:sz w:val="20"/>
        </w:rPr>
        <w:t>Even within an indoor, recirculating aquaculture system (RAS) with 14:10 light timers and temperature control, we investigated whether outdoor atmospheric and seasonal cycles subtly penetrate the facility.</w:t>
      </w:r>
    </w:p>
    <w:p>
      <w:pPr>
        <w:keepNext/>
        <w:spacing w:before="200" w:after="60"/>
      </w:pPr>
      <w:r>
        <w:rPr>
          <w:rFonts w:ascii="Calibri" w:hAnsi="Calibri"/>
          <w:b/>
          <w:color w:val="0E7490"/>
          <w:sz w:val="24"/>
        </w:rPr>
        <w:t>1. Harmonic Sinusoidal Fourier Time-Series Model</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after="40"/>
            </w:pPr>
            <w:r>
              <w:rPr>
                <w:rFonts w:ascii="Consolas" w:hAnsi="Consolas"/>
                <w:b/>
                <w:color w:val="0F172A"/>
                <w:sz w:val="20"/>
              </w:rPr>
              <w:t>SR%(m) = 67.88% - 6.28 * sin(2*pi*m/12) - 0.84 * cos(2*pi*m/12)</w:t>
              <w:br/>
              <w:t>ANOVA F-Statistic = 21.601, p &lt; 0.0001 (n = 2,198 valid dated events)</w:t>
              <w:br/>
            </w:r>
            <w:r>
              <w:rPr>
                <w:rFonts w:ascii="Calibri" w:hAnsi="Calibri"/>
                <w:color w:val="64748B"/>
                <w:sz w:val="18"/>
              </w:rPr>
              <w:t>Proves a statistically significant 12.67% peak-to-trough cyclical seasonal wave.</w:t>
            </w:r>
          </w:p>
        </w:tc>
      </w:tr>
    </w:tbl>
    <w:p>
      <w:pPr>
        <w:spacing w:after="80"/>
      </w:pPr>
    </w:p>
    <w:p>
      <w:pPr>
        <w:keepNext/>
        <w:spacing w:before="200" w:after="60"/>
      </w:pPr>
      <w:r>
        <w:rPr>
          <w:rFonts w:ascii="Calibri" w:hAnsi="Calibri"/>
          <w:b/>
          <w:color w:val="0E7490"/>
          <w:sz w:val="24"/>
        </w:rPr>
        <w:t>2. Seasonal Findings &amp; Qatar Meteorological Correlation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b/>
                <w:color w:val="FFFFFF"/>
                <w:sz w:val="18"/>
              </w:rPr>
              <w:t>Season (Qatar)</w:t>
            </w:r>
          </w:p>
        </w:tc>
        <w:tc>
          <w:tcPr>
            <w:tcW w:type="dxa" w:w="1987"/>
            <w:shd w:fill="1E3A8A"/>
            <w:tcMar>
              <w:top w:w="80" w:type="dxa"/>
              <w:bottom w:w="80" w:type="dxa"/>
              <w:left w:w="100" w:type="dxa"/>
              <w:right w:w="100" w:type="dxa"/>
            </w:tcMar>
          </w:tcPr>
          <w:p>
            <w:r>
              <w:rPr>
                <w:b/>
                <w:color w:val="FFFFFF"/>
                <w:sz w:val="18"/>
              </w:rPr>
              <w:t>Months</w:t>
            </w:r>
          </w:p>
        </w:tc>
        <w:tc>
          <w:tcPr>
            <w:tcW w:type="dxa" w:w="1987"/>
            <w:shd w:fill="1E3A8A"/>
            <w:tcMar>
              <w:top w:w="80" w:type="dxa"/>
              <w:bottom w:w="80" w:type="dxa"/>
              <w:left w:w="100" w:type="dxa"/>
              <w:right w:w="100" w:type="dxa"/>
            </w:tcMar>
          </w:tcPr>
          <w:p>
            <w:r>
              <w:rPr>
                <w:b/>
                <w:color w:val="FFFFFF"/>
                <w:sz w:val="18"/>
              </w:rPr>
              <w:t>Spawns</w:t>
            </w:r>
          </w:p>
        </w:tc>
        <w:tc>
          <w:tcPr>
            <w:tcW w:type="dxa" w:w="1987"/>
            <w:shd w:fill="1E3A8A"/>
            <w:tcMar>
              <w:top w:w="80" w:type="dxa"/>
              <w:bottom w:w="80" w:type="dxa"/>
              <w:left w:w="100" w:type="dxa"/>
              <w:right w:w="100" w:type="dxa"/>
            </w:tcMar>
          </w:tcPr>
          <w:p>
            <w:r>
              <w:rPr>
                <w:b/>
                <w:color w:val="FFFFFF"/>
                <w:sz w:val="18"/>
              </w:rPr>
              <w:t>Mean 24hpf SR%</w:t>
            </w:r>
          </w:p>
        </w:tc>
        <w:tc>
          <w:tcPr>
            <w:tcW w:type="dxa" w:w="1987"/>
            <w:shd w:fill="1E3A8A"/>
            <w:tcMar>
              <w:top w:w="80" w:type="dxa"/>
              <w:bottom w:w="80" w:type="dxa"/>
              <w:left w:w="100" w:type="dxa"/>
              <w:right w:w="100" w:type="dxa"/>
            </w:tcMar>
          </w:tcPr>
          <w:p>
            <w:r>
              <w:rPr>
                <w:b/>
                <w:color w:val="FFFFFF"/>
                <w:sz w:val="18"/>
              </w:rPr>
              <w:t>Doha Outdoor Temp</w:t>
            </w:r>
          </w:p>
        </w:tc>
      </w:tr>
      <w:tr>
        <w:tc>
          <w:tcPr>
            <w:tcW w:type="dxa" w:w="1987"/>
            <w:shd w:fill="FFFFFF"/>
            <w:tcMar>
              <w:top w:w="60" w:type="dxa"/>
              <w:bottom w:w="60" w:type="dxa"/>
              <w:left w:w="100" w:type="dxa"/>
              <w:right w:w="100" w:type="dxa"/>
            </w:tcMar>
          </w:tcPr>
          <w:p>
            <w:r>
              <w:rPr>
                <w:color w:val="334155"/>
                <w:sz w:val="17"/>
              </w:rPr>
              <w:t>Winter (Trough)</w:t>
            </w:r>
          </w:p>
        </w:tc>
        <w:tc>
          <w:tcPr>
            <w:tcW w:type="dxa" w:w="1987"/>
            <w:shd w:fill="FFFFFF"/>
            <w:tcMar>
              <w:top w:w="60" w:type="dxa"/>
              <w:bottom w:w="60" w:type="dxa"/>
              <w:left w:w="100" w:type="dxa"/>
              <w:right w:w="100" w:type="dxa"/>
            </w:tcMar>
          </w:tcPr>
          <w:p>
            <w:r>
              <w:rPr>
                <w:color w:val="334155"/>
                <w:sz w:val="17"/>
              </w:rPr>
              <w:t>Dec, Jan, Feb</w:t>
            </w:r>
          </w:p>
        </w:tc>
        <w:tc>
          <w:tcPr>
            <w:tcW w:type="dxa" w:w="1987"/>
            <w:shd w:fill="FFFFFF"/>
            <w:tcMar>
              <w:top w:w="60" w:type="dxa"/>
              <w:bottom w:w="60" w:type="dxa"/>
              <w:left w:w="100" w:type="dxa"/>
              <w:right w:w="100" w:type="dxa"/>
            </w:tcMar>
          </w:tcPr>
          <w:p>
            <w:r>
              <w:rPr>
                <w:color w:val="334155"/>
                <w:sz w:val="17"/>
              </w:rPr>
              <w:t>488</w:t>
            </w:r>
          </w:p>
        </w:tc>
        <w:tc>
          <w:tcPr>
            <w:tcW w:type="dxa" w:w="1987"/>
            <w:shd w:fill="FFFFFF"/>
            <w:tcMar>
              <w:top w:w="60" w:type="dxa"/>
              <w:bottom w:w="60" w:type="dxa"/>
              <w:left w:w="100" w:type="dxa"/>
              <w:right w:w="100" w:type="dxa"/>
            </w:tcMar>
          </w:tcPr>
          <w:p>
            <w:r>
              <w:rPr>
                <w:color w:val="334155"/>
                <w:sz w:val="17"/>
              </w:rPr>
              <w:t>62.9% (Feb: 59.0%)</w:t>
            </w:r>
          </w:p>
        </w:tc>
        <w:tc>
          <w:tcPr>
            <w:tcW w:type="dxa" w:w="1987"/>
            <w:shd w:fill="FFFFFF"/>
            <w:tcMar>
              <w:top w:w="60" w:type="dxa"/>
              <w:bottom w:w="60" w:type="dxa"/>
              <w:left w:w="100" w:type="dxa"/>
              <w:right w:w="100" w:type="dxa"/>
            </w:tcMar>
          </w:tcPr>
          <w:p>
            <w:r>
              <w:rPr>
                <w:color w:val="334155"/>
                <w:sz w:val="17"/>
              </w:rPr>
              <w:t>17.5°C – 19.5°C</w:t>
            </w:r>
          </w:p>
        </w:tc>
      </w:tr>
      <w:tr>
        <w:tc>
          <w:tcPr>
            <w:tcW w:type="dxa" w:w="1987"/>
            <w:shd w:fill="F8FAFC"/>
            <w:tcMar>
              <w:top w:w="60" w:type="dxa"/>
              <w:bottom w:w="60" w:type="dxa"/>
              <w:left w:w="100" w:type="dxa"/>
              <w:right w:w="100" w:type="dxa"/>
            </w:tcMar>
          </w:tcPr>
          <w:p>
            <w:r>
              <w:rPr>
                <w:color w:val="334155"/>
                <w:sz w:val="17"/>
              </w:rPr>
              <w:t>Spring (Rebound)</w:t>
            </w:r>
          </w:p>
        </w:tc>
        <w:tc>
          <w:tcPr>
            <w:tcW w:type="dxa" w:w="1987"/>
            <w:shd w:fill="F8FAFC"/>
            <w:tcMar>
              <w:top w:w="60" w:type="dxa"/>
              <w:bottom w:w="60" w:type="dxa"/>
              <w:left w:w="100" w:type="dxa"/>
              <w:right w:w="100" w:type="dxa"/>
            </w:tcMar>
          </w:tcPr>
          <w:p>
            <w:r>
              <w:rPr>
                <w:color w:val="334155"/>
                <w:sz w:val="17"/>
              </w:rPr>
              <w:t>Mar, Apr, May</w:t>
            </w:r>
          </w:p>
        </w:tc>
        <w:tc>
          <w:tcPr>
            <w:tcW w:type="dxa" w:w="1987"/>
            <w:shd w:fill="F8FAFC"/>
            <w:tcMar>
              <w:top w:w="60" w:type="dxa"/>
              <w:bottom w:w="60" w:type="dxa"/>
              <w:left w:w="100" w:type="dxa"/>
              <w:right w:w="100" w:type="dxa"/>
            </w:tcMar>
          </w:tcPr>
          <w:p>
            <w:r>
              <w:rPr>
                <w:color w:val="334155"/>
                <w:sz w:val="17"/>
              </w:rPr>
              <w:t>511</w:t>
            </w:r>
          </w:p>
        </w:tc>
        <w:tc>
          <w:tcPr>
            <w:tcW w:type="dxa" w:w="1987"/>
            <w:shd w:fill="F8FAFC"/>
            <w:tcMar>
              <w:top w:w="60" w:type="dxa"/>
              <w:bottom w:w="60" w:type="dxa"/>
              <w:left w:w="100" w:type="dxa"/>
              <w:right w:w="100" w:type="dxa"/>
            </w:tcMar>
          </w:tcPr>
          <w:p>
            <w:r>
              <w:rPr>
                <w:color w:val="334155"/>
                <w:sz w:val="17"/>
              </w:rPr>
              <w:t>65.4%</w:t>
            </w:r>
          </w:p>
        </w:tc>
        <w:tc>
          <w:tcPr>
            <w:tcW w:type="dxa" w:w="1987"/>
            <w:shd w:fill="F8FAFC"/>
            <w:tcMar>
              <w:top w:w="60" w:type="dxa"/>
              <w:bottom w:w="60" w:type="dxa"/>
              <w:left w:w="100" w:type="dxa"/>
              <w:right w:w="100" w:type="dxa"/>
            </w:tcMar>
          </w:tcPr>
          <w:p>
            <w:r>
              <w:rPr>
                <w:color w:val="334155"/>
                <w:sz w:val="17"/>
              </w:rPr>
              <w:t>22.1°C – 32.5°C</w:t>
            </w:r>
          </w:p>
        </w:tc>
      </w:tr>
      <w:tr>
        <w:tc>
          <w:tcPr>
            <w:tcW w:type="dxa" w:w="1987"/>
            <w:shd w:fill="FFFFFF"/>
            <w:tcMar>
              <w:top w:w="60" w:type="dxa"/>
              <w:bottom w:w="60" w:type="dxa"/>
              <w:left w:w="100" w:type="dxa"/>
              <w:right w:w="100" w:type="dxa"/>
            </w:tcMar>
          </w:tcPr>
          <w:p>
            <w:r>
              <w:rPr>
                <w:color w:val="334155"/>
                <w:sz w:val="17"/>
              </w:rPr>
              <w:t>Summer (High)</w:t>
            </w:r>
          </w:p>
        </w:tc>
        <w:tc>
          <w:tcPr>
            <w:tcW w:type="dxa" w:w="1987"/>
            <w:shd w:fill="FFFFFF"/>
            <w:tcMar>
              <w:top w:w="60" w:type="dxa"/>
              <w:bottom w:w="60" w:type="dxa"/>
              <w:left w:w="100" w:type="dxa"/>
              <w:right w:w="100" w:type="dxa"/>
            </w:tcMar>
          </w:tcPr>
          <w:p>
            <w:r>
              <w:rPr>
                <w:color w:val="334155"/>
                <w:sz w:val="17"/>
              </w:rPr>
              <w:t>Jun, Jul, Aug</w:t>
            </w:r>
          </w:p>
        </w:tc>
        <w:tc>
          <w:tcPr>
            <w:tcW w:type="dxa" w:w="1987"/>
            <w:shd w:fill="FFFFFF"/>
            <w:tcMar>
              <w:top w:w="60" w:type="dxa"/>
              <w:bottom w:w="60" w:type="dxa"/>
              <w:left w:w="100" w:type="dxa"/>
              <w:right w:w="100" w:type="dxa"/>
            </w:tcMar>
          </w:tcPr>
          <w:p>
            <w:r>
              <w:rPr>
                <w:color w:val="334155"/>
                <w:sz w:val="17"/>
              </w:rPr>
              <w:t>640</w:t>
            </w:r>
          </w:p>
        </w:tc>
        <w:tc>
          <w:tcPr>
            <w:tcW w:type="dxa" w:w="1987"/>
            <w:shd w:fill="FFFFFF"/>
            <w:tcMar>
              <w:top w:w="60" w:type="dxa"/>
              <w:bottom w:w="60" w:type="dxa"/>
              <w:left w:w="100" w:type="dxa"/>
              <w:right w:w="100" w:type="dxa"/>
            </w:tcMar>
          </w:tcPr>
          <w:p>
            <w:r>
              <w:rPr>
                <w:color w:val="334155"/>
                <w:sz w:val="17"/>
              </w:rPr>
              <w:t>69.9%</w:t>
            </w:r>
          </w:p>
        </w:tc>
        <w:tc>
          <w:tcPr>
            <w:tcW w:type="dxa" w:w="1987"/>
            <w:shd w:fill="FFFFFF"/>
            <w:tcMar>
              <w:top w:w="60" w:type="dxa"/>
              <w:bottom w:w="60" w:type="dxa"/>
              <w:left w:w="100" w:type="dxa"/>
              <w:right w:w="100" w:type="dxa"/>
            </w:tcMar>
          </w:tcPr>
          <w:p>
            <w:r>
              <w:rPr>
                <w:color w:val="334155"/>
                <w:sz w:val="17"/>
              </w:rPr>
              <w:t>35.1°C – 36.6°C</w:t>
            </w:r>
          </w:p>
        </w:tc>
      </w:tr>
      <w:tr>
        <w:tc>
          <w:tcPr>
            <w:tcW w:type="dxa" w:w="1987"/>
            <w:shd w:fill="F8FAFC"/>
            <w:tcMar>
              <w:top w:w="60" w:type="dxa"/>
              <w:bottom w:w="60" w:type="dxa"/>
              <w:left w:w="100" w:type="dxa"/>
              <w:right w:w="100" w:type="dxa"/>
            </w:tcMar>
          </w:tcPr>
          <w:p>
            <w:r>
              <w:rPr>
                <w:color w:val="334155"/>
                <w:sz w:val="17"/>
              </w:rPr>
              <w:t>Autumn (Peak)</w:t>
            </w:r>
          </w:p>
        </w:tc>
        <w:tc>
          <w:tcPr>
            <w:tcW w:type="dxa" w:w="1987"/>
            <w:shd w:fill="F8FAFC"/>
            <w:tcMar>
              <w:top w:w="60" w:type="dxa"/>
              <w:bottom w:w="60" w:type="dxa"/>
              <w:left w:w="100" w:type="dxa"/>
              <w:right w:w="100" w:type="dxa"/>
            </w:tcMar>
          </w:tcPr>
          <w:p>
            <w:r>
              <w:rPr>
                <w:color w:val="334155"/>
                <w:sz w:val="17"/>
              </w:rPr>
              <w:t>Sep, Oct, Nov</w:t>
            </w:r>
          </w:p>
        </w:tc>
        <w:tc>
          <w:tcPr>
            <w:tcW w:type="dxa" w:w="1987"/>
            <w:shd w:fill="F8FAFC"/>
            <w:tcMar>
              <w:top w:w="60" w:type="dxa"/>
              <w:bottom w:w="60" w:type="dxa"/>
              <w:left w:w="100" w:type="dxa"/>
              <w:right w:w="100" w:type="dxa"/>
            </w:tcMar>
          </w:tcPr>
          <w:p>
            <w:r>
              <w:rPr>
                <w:color w:val="334155"/>
                <w:sz w:val="17"/>
              </w:rPr>
              <w:t>559</w:t>
            </w:r>
          </w:p>
        </w:tc>
        <w:tc>
          <w:tcPr>
            <w:tcW w:type="dxa" w:w="1987"/>
            <w:shd w:fill="F8FAFC"/>
            <w:tcMar>
              <w:top w:w="60" w:type="dxa"/>
              <w:bottom w:w="60" w:type="dxa"/>
              <w:left w:w="100" w:type="dxa"/>
              <w:right w:w="100" w:type="dxa"/>
            </w:tcMar>
          </w:tcPr>
          <w:p>
            <w:r>
              <w:rPr>
                <w:color w:val="334155"/>
                <w:sz w:val="17"/>
              </w:rPr>
              <w:t>72.4% (Aug/Sep: 76.0%)</w:t>
            </w:r>
          </w:p>
        </w:tc>
        <w:tc>
          <w:tcPr>
            <w:tcW w:type="dxa" w:w="1987"/>
            <w:shd w:fill="F8FAFC"/>
            <w:tcMar>
              <w:top w:w="60" w:type="dxa"/>
              <w:bottom w:w="60" w:type="dxa"/>
              <w:left w:w="100" w:type="dxa"/>
              <w:right w:w="100" w:type="dxa"/>
            </w:tcMar>
          </w:tcPr>
          <w:p>
            <w:r>
              <w:rPr>
                <w:color w:val="334155"/>
                <w:sz w:val="17"/>
              </w:rPr>
              <w:t>24.4°C – 33.6°C</w:t>
            </w:r>
          </w:p>
        </w:tc>
      </w:tr>
    </w:tbl>
    <w:p>
      <w:pPr>
        <w:spacing w:after="120"/>
      </w:pPr>
    </w:p>
    <w:p>
      <w:pPr>
        <w:keepNext/>
        <w:spacing w:before="200" w:after="60"/>
      </w:pPr>
      <w:r>
        <w:rPr>
          <w:rFonts w:ascii="Calibri" w:hAnsi="Calibri"/>
          <w:b/>
          <w:color w:val="0E7490"/>
          <w:sz w:val="24"/>
        </w:rPr>
        <w:t>3. Facility Compensatory Protocol</w:t>
      </w:r>
    </w:p>
    <w:p>
      <w:pPr>
        <w:spacing w:before="0" w:after="80" w:line="276" w:lineRule="auto"/>
      </w:pPr>
      <w:r>
        <w:rPr>
          <w:rFonts w:ascii="Calibri" w:hAnsi="Calibri"/>
          <w:i w:val="0"/>
          <w:color w:val="334155"/>
          <w:sz w:val="20"/>
        </w:rPr>
        <w:t>• Fecundity Invariance: Clutch size remained virtually constant across seasons (531 to 579 eggs/spawn, r = +0.0039). The fish mate and lay eggs reliably year-round.</w:t>
      </w:r>
    </w:p>
    <w:p>
      <w:pPr>
        <w:spacing w:before="0" w:after="80" w:line="276" w:lineRule="auto"/>
      </w:pPr>
      <w:r>
        <w:rPr>
          <w:rFonts w:ascii="Calibri" w:hAnsi="Calibri"/>
          <w:i w:val="0"/>
          <w:color w:val="334155"/>
          <w:sz w:val="20"/>
        </w:rPr>
        <w:t>• Winter Trough Protocol (Feb–Mar): Technicians should schedule +15% to +20% extra breeding setups to buffer the seasonal drop in 24hpf viability.</w:t>
      </w:r>
    </w:p>
    <w:p>
      <w:pPr>
        <w:spacing w:before="0" w:after="80" w:line="276" w:lineRule="auto"/>
      </w:pPr>
      <w:r>
        <w:rPr>
          <w:rFonts w:ascii="Calibri" w:hAnsi="Calibri"/>
          <w:i w:val="0"/>
          <w:color w:val="334155"/>
          <w:sz w:val="20"/>
        </w:rPr>
        <w:t>• Autumn Peak Protocol (Aug–Nov): High natural viability (72%–76%) allows a 15% reduction in breeder pairs, minimizing animal use.</w:t>
      </w:r>
    </w:p>
    <w:p>
      <w:pPr>
        <w:keepNext/>
        <w:spacing w:before="280" w:after="80"/>
      </w:pPr>
      <w:r>
        <w:rPr>
          <w:rFonts w:ascii="Calibri" w:hAnsi="Calibri"/>
          <w:b/>
          <w:color w:val="1E3A8A"/>
          <w:sz w:val="28"/>
        </w:rPr>
        <w:t>Phase 8: Alignment with the Two-Paper Publication Strategy</w:t>
      </w:r>
    </w:p>
    <w:tbl>
      <w:tblPr>
        <w:tblW w:type="auto" w:w="0"/>
        <w:jc w:val="center"/>
        <w:tblLook w:firstColumn="1" w:firstRow="1" w:lastColumn="0" w:lastRow="0" w:noHBand="0" w:noVBand="1" w:val="04A0"/>
      </w:tblPr>
      <w:tblGrid>
        <w:gridCol w:w="3312"/>
        <w:gridCol w:w="3312"/>
        <w:gridCol w:w="3312"/>
      </w:tblGrid>
      <w:tr>
        <w:tc>
          <w:tcPr>
            <w:tcW w:type="dxa" w:w="3312"/>
            <w:shd w:fill="0F766E"/>
            <w:tcMar>
              <w:top w:w="80" w:type="dxa"/>
              <w:bottom w:w="80" w:type="dxa"/>
              <w:left w:w="100" w:type="dxa"/>
              <w:right w:w="100" w:type="dxa"/>
            </w:tcMar>
          </w:tcPr>
          <w:p>
            <w:r>
              <w:rPr>
                <w:b/>
                <w:color w:val="FFFFFF"/>
                <w:sz w:val="18"/>
              </w:rPr>
              <w:t>Manuscript</w:t>
            </w:r>
          </w:p>
        </w:tc>
        <w:tc>
          <w:tcPr>
            <w:tcW w:type="dxa" w:w="3312"/>
            <w:shd w:fill="0F766E"/>
            <w:tcMar>
              <w:top w:w="80" w:type="dxa"/>
              <w:bottom w:w="80" w:type="dxa"/>
              <w:left w:w="100" w:type="dxa"/>
              <w:right w:w="100" w:type="dxa"/>
            </w:tcMar>
          </w:tcPr>
          <w:p>
            <w:r>
              <w:rPr>
                <w:b/>
                <w:color w:val="FFFFFF"/>
                <w:sz w:val="18"/>
              </w:rPr>
              <w:t>Target Journals</w:t>
            </w:r>
          </w:p>
        </w:tc>
        <w:tc>
          <w:tcPr>
            <w:tcW w:type="dxa" w:w="3312"/>
            <w:shd w:fill="0F766E"/>
            <w:tcMar>
              <w:top w:w="80" w:type="dxa"/>
              <w:bottom w:w="80" w:type="dxa"/>
              <w:left w:w="100" w:type="dxa"/>
              <w:right w:w="100" w:type="dxa"/>
            </w:tcMar>
          </w:tcPr>
          <w:p>
            <w:r>
              <w:rPr>
                <w:b/>
                <w:color w:val="FFFFFF"/>
                <w:sz w:val="18"/>
              </w:rPr>
              <w:t>Core Analytical Deliverables</w:t>
            </w:r>
          </w:p>
        </w:tc>
      </w:tr>
      <w:tr>
        <w:tc>
          <w:tcPr>
            <w:tcW w:type="dxa" w:w="3312"/>
            <w:shd w:fill="FFFFFF"/>
            <w:tcMar>
              <w:top w:w="80" w:type="dxa"/>
              <w:bottom w:w="80" w:type="dxa"/>
              <w:left w:w="100" w:type="dxa"/>
              <w:right w:w="100" w:type="dxa"/>
            </w:tcMar>
          </w:tcPr>
          <w:p>
            <w:r>
              <w:rPr>
                <w:color w:val="334155"/>
                <w:sz w:val="17"/>
              </w:rPr>
              <w:t>Paper 1: Reproductive Biology &amp; Colony Genetics</w:t>
            </w:r>
          </w:p>
        </w:tc>
        <w:tc>
          <w:tcPr>
            <w:tcW w:type="dxa" w:w="3312"/>
            <w:shd w:fill="FFFFFF"/>
            <w:tcMar>
              <w:top w:w="80" w:type="dxa"/>
              <w:bottom w:w="80" w:type="dxa"/>
              <w:left w:w="100" w:type="dxa"/>
              <w:right w:w="100" w:type="dxa"/>
            </w:tcMar>
          </w:tcPr>
          <w:p>
            <w:r>
              <w:rPr>
                <w:color w:val="334155"/>
                <w:sz w:val="17"/>
              </w:rPr>
              <w:t>Zebrafish, Biology Open, Genetics, Reproduction</w:t>
            </w:r>
          </w:p>
        </w:tc>
        <w:tc>
          <w:tcPr>
            <w:tcW w:type="dxa" w:w="3312"/>
            <w:shd w:fill="FFFFFF"/>
            <w:tcMar>
              <w:top w:w="80" w:type="dxa"/>
              <w:bottom w:w="80" w:type="dxa"/>
              <w:left w:w="100" w:type="dxa"/>
              <w:right w:w="100" w:type="dxa"/>
            </w:tcMar>
          </w:tcPr>
          <w:p>
            <w:r>
              <w:rPr>
                <w:color w:val="334155"/>
                <w:sz w:val="17"/>
              </w:rPr>
              <w:t>• 4-Line Baseline Fecundity &amp; Transgenic Burden (AB vs Casper vs Fli vs Gata).</w:t>
              <w:br/>
              <w:t>• Inbreeding Depression Proof: Henderson's Kinship Matrix (A) &amp; Wright's F.</w:t>
              <w:br/>
              <w:t>• Piecewise Breakpoint Regression: 12-14 month inflection &amp; 18-month turnover limit.</w:t>
              <w:br/>
              <w:t>• Pedigree heritability of underperforming family branches.</w:t>
            </w:r>
          </w:p>
        </w:tc>
      </w:tr>
      <w:tr>
        <w:tc>
          <w:tcPr>
            <w:tcW w:type="dxa" w:w="3312"/>
            <w:shd w:fill="F8FAFC"/>
            <w:tcMar>
              <w:top w:w="80" w:type="dxa"/>
              <w:bottom w:w="80" w:type="dxa"/>
              <w:left w:w="100" w:type="dxa"/>
              <w:right w:w="100" w:type="dxa"/>
            </w:tcMar>
          </w:tcPr>
          <w:p>
            <w:r>
              <w:rPr>
                <w:color w:val="334155"/>
                <w:sz w:val="17"/>
              </w:rPr>
              <w:t>Paper 2: Predictive Facility Operations &amp; The 3Rs</w:t>
            </w:r>
          </w:p>
        </w:tc>
        <w:tc>
          <w:tcPr>
            <w:tcW w:type="dxa" w:w="3312"/>
            <w:shd w:fill="F8FAFC"/>
            <w:tcMar>
              <w:top w:w="80" w:type="dxa"/>
              <w:bottom w:w="80" w:type="dxa"/>
              <w:left w:w="100" w:type="dxa"/>
              <w:right w:w="100" w:type="dxa"/>
            </w:tcMar>
          </w:tcPr>
          <w:p>
            <w:r>
              <w:rPr>
                <w:color w:val="334155"/>
                <w:sz w:val="17"/>
              </w:rPr>
              <w:t>JAALAS, Lab Animal, PLOS ONE</w:t>
            </w:r>
          </w:p>
        </w:tc>
        <w:tc>
          <w:tcPr>
            <w:tcW w:type="dxa" w:w="3312"/>
            <w:shd w:fill="F8FAFC"/>
            <w:tcMar>
              <w:top w:w="80" w:type="dxa"/>
              <w:bottom w:w="80" w:type="dxa"/>
              <w:left w:w="100" w:type="dxa"/>
              <w:right w:w="100" w:type="dxa"/>
            </w:tcMar>
          </w:tcPr>
          <w:p>
            <w:r>
              <w:rPr>
                <w:color w:val="334155"/>
                <w:sz w:val="17"/>
              </w:rPr>
              <w:t>• 14-Day Overripe Rest Threshold &amp; SEPP Alternating Cohort Protocol.</w:t>
              <w:br/>
              <w:t>• Harmonic Fourier Seasonality Model across Qatar Climatic Cycles (F=21.601).</w:t>
              <w:br/>
              <w:t>• 3Rs Animal Reduction via Linear Programming Mating Optimization.</w:t>
              <w:br/>
              <w:t>• Rigorous 2-Year Hand-Curated Benchmark for Future High-Throughput Automation.</w:t>
            </w:r>
          </w:p>
        </w:tc>
      </w:tr>
    </w:tbl>
    <w:p>
      <w:pPr>
        <w:spacing w:after="20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t>FishNET Intelligence System • Hand-Curated 3-Year Dataset (2024–2026) • 1.25M Embryos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Qatar University Zebrafish Facility | FishNET Data Analytics &amp; Statistical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