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264" w:lineRule="auto"/>
        <w:jc w:val="left"/>
      </w:pPr>
      <w:r>
        <w:rPr>
          <w:rFonts w:ascii="Aptos" w:hAnsi="Aptos"/>
          <w:b/>
          <w:i w:val="0"/>
          <w:color w:val="C96F5B"/>
          <w:sz w:val="20"/>
        </w:rPr>
        <w:t>PORTFOLIO PROJECT 01</w:t>
      </w:r>
    </w:p>
    <w:p>
      <w:pPr>
        <w:keepNext w:val="0"/>
        <w:spacing w:before="0" w:after="160" w:line="240" w:lineRule="auto"/>
        <w:jc w:val="left"/>
      </w:pPr>
      <w:r>
        <w:rPr>
          <w:rFonts w:ascii="Aptos" w:hAnsi="Aptos"/>
          <w:b/>
          <w:i w:val="0"/>
          <w:color w:val="10233F"/>
          <w:sz w:val="54"/>
        </w:rPr>
        <w:t>Digital-Product Merchant</w:t>
        <w:br/>
        <w:t>Credit &amp; Reserve Decision Engine</w:t>
      </w:r>
    </w:p>
    <w:p>
      <w:pPr>
        <w:keepNext w:val="0"/>
        <w:spacing w:before="0" w:after="480" w:line="264" w:lineRule="auto"/>
        <w:jc w:val="left"/>
      </w:pPr>
      <w:r>
        <w:rPr>
          <w:rFonts w:ascii="Aptos" w:hAnsi="Aptos"/>
          <w:b w:val="0"/>
          <w:i w:val="0"/>
          <w:color w:val="667085"/>
          <w:sz w:val="26"/>
        </w:rPr>
        <w:t>Product requirements, risk methodology, API architecture, validation plan, and delivery roadmap</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76"/>
            <w:shd w:fill="10233F"/>
            <w:tcMar>
              <w:top w:w="100" w:type="dxa"/>
              <w:start w:w="120" w:type="dxa"/>
              <w:bottom w:w="100" w:type="dxa"/>
              <w:end w:w="120" w:type="dxa"/>
            </w:tcMar>
            <w:vAlign w:val="center"/>
          </w:tcPr>
          <w:p>
            <w:pPr>
              <w:keepLines/>
              <w:spacing w:after="0"/>
            </w:pPr>
            <w:r>
              <w:rPr>
                <w:rFonts w:ascii="Aptos" w:hAnsi="Aptos"/>
                <w:b/>
                <w:i w:val="0"/>
                <w:color w:val="FFFFFF"/>
                <w:sz w:val="18"/>
              </w:rPr>
              <w:t>Field</w:t>
            </w:r>
          </w:p>
        </w:tc>
        <w:tc>
          <w:tcPr>
            <w:tcW w:type="dxa" w:w="6984"/>
            <w:shd w:fill="10233F"/>
            <w:tcMar>
              <w:top w:w="100" w:type="dxa"/>
              <w:start w:w="120" w:type="dxa"/>
              <w:bottom w:w="100" w:type="dxa"/>
              <w:end w:w="120" w:type="dxa"/>
            </w:tcMar>
            <w:vAlign w:val="center"/>
          </w:tcPr>
          <w:p>
            <w:pPr>
              <w:keepLines/>
              <w:spacing w:after="0"/>
            </w:pPr>
            <w:r>
              <w:rPr>
                <w:rFonts w:ascii="Aptos" w:hAnsi="Aptos"/>
                <w:b/>
                <w:i w:val="0"/>
                <w:color w:val="FFFFFF"/>
                <w:sz w:val="18"/>
              </w:rPr>
              <w:t>Definition</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Owner</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Charlene Yang</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Status</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Planning baseline / implementation authority</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Primary career areas</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Payments, credit and risk strategy; fintech product strategy</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Intended audience</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Risk leaders, product managers, engineers, recruiters, and portfolio reviewers</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Public-data boundary</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Synthetic data only; no confidential employer policies or customer information</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360"/>
            <w:shd w:fill="F8F3F1"/>
            <w:tcMar>
              <w:top w:w="150" w:type="dxa"/>
              <w:start w:w="180" w:type="dxa"/>
              <w:bottom w:w="150" w:type="dxa"/>
              <w:end w:w="180" w:type="dxa"/>
            </w:tcMar>
          </w:tcPr>
          <w:p>
            <w:pPr>
              <w:keepLines/>
              <w:spacing w:after="0"/>
            </w:pPr>
            <w:r>
              <w:rPr>
                <w:rFonts w:ascii="Aptos" w:hAnsi="Aptos"/>
                <w:b/>
                <w:i w:val="0"/>
                <w:color w:val="7A3045"/>
                <w:sz w:val="21"/>
              </w:rPr>
              <w:t xml:space="preserve">Project thesis: </w:t>
            </w:r>
            <w:r>
              <w:rPr>
                <w:rFonts w:ascii="Aptos" w:hAnsi="Aptos"/>
                <w:b w:val="0"/>
                <w:i w:val="0"/>
                <w:color w:val="1D2939"/>
                <w:sz w:val="21"/>
              </w:rPr>
              <w:t>Emerging digital-product merchants require underwriting and reserve strategies that account for instant delivery, rapid scaling, intangible goods, cross-border exposure, refund abuse, and limited operating history—without sacrificing legitimate approval and revenue growth.</w:t>
            </w:r>
          </w:p>
        </w:tc>
      </w:tr>
    </w:tbl>
    <w:p>
      <w:pPr>
        <w:spacing w:after="0"/>
      </w:pPr>
    </w:p>
    <w:p>
      <w:pPr>
        <w:keepNext/>
        <w:spacing w:before="280" w:after="140" w:line="264" w:lineRule="auto"/>
        <w:jc w:val="left"/>
      </w:pPr>
      <w:r>
        <w:rPr>
          <w:rFonts w:ascii="Aptos" w:hAnsi="Aptos"/>
          <w:b/>
          <w:i w:val="0"/>
          <w:color w:val="10233F"/>
          <w:sz w:val="32"/>
        </w:rPr>
        <w:t>1. Executive Summary</w:t>
      </w:r>
    </w:p>
    <w:p>
      <w:pPr>
        <w:keepNext w:val="0"/>
        <w:spacing w:before="0" w:after="120" w:line="264" w:lineRule="auto"/>
        <w:jc w:val="left"/>
      </w:pPr>
      <w:r>
        <w:rPr>
          <w:rFonts w:ascii="Aptos" w:hAnsi="Aptos"/>
          <w:b w:val="0"/>
          <w:i w:val="0"/>
          <w:color w:val="1D2939"/>
          <w:sz w:val="22"/>
        </w:rPr>
        <w:t>This project will build an explainable, API-first decision engine for digital-product merchants such as game publishers, short-form entertainment platforms, web-fiction services, AI applications, subscription products, and virtual-item businesses. The engine will transform merchant-level operating and aggregated payment-risk signals into an approval action and a rolling-reserve recommendation.</w:t>
      </w:r>
    </w:p>
    <w:p>
      <w:pPr>
        <w:keepNext w:val="0"/>
        <w:spacing w:before="0" w:after="120" w:line="264" w:lineRule="auto"/>
        <w:jc w:val="left"/>
      </w:pPr>
      <w:r>
        <w:rPr>
          <w:rFonts w:ascii="Aptos" w:hAnsi="Aptos"/>
          <w:b w:val="0"/>
          <w:i w:val="0"/>
          <w:color w:val="1D2939"/>
          <w:sz w:val="22"/>
        </w:rPr>
        <w:t>The system is deliberately designed as a corporate-style portfolio project. Product requirements, architecture decisions, backlog items, validation evidence, governance artifacts, and release notes will be created alongside the software so that the work demonstrates both analytical ability and fluency with professional delivery workflows.</w:t>
      </w:r>
    </w:p>
    <w:tbl>
      <w:tblPr>
        <w:tblW w:type="auto" w:w="0"/>
        <w:jc w:val="center"/>
        <w:tblLayout w:type="fixed"/>
        <w:tblLook w:firstColumn="1" w:firstRow="1" w:lastColumn="0" w:lastRow="0" w:noHBand="0" w:noVBand="1" w:val="04A0"/>
      </w:tblPr>
      <w:tblGrid>
        <w:gridCol w:w="9792"/>
      </w:tblGrid>
      <w:tr>
        <w:trPr>
          <w:cantSplit/>
        </w:trPr>
        <w:tc>
          <w:tcPr>
            <w:tcW w:type="dxa" w:w="9360"/>
            <w:shd w:fill="F8F3F1"/>
            <w:tcMar>
              <w:top w:w="150" w:type="dxa"/>
              <w:start w:w="180" w:type="dxa"/>
              <w:bottom w:w="150" w:type="dxa"/>
              <w:end w:w="180" w:type="dxa"/>
            </w:tcMar>
          </w:tcPr>
          <w:p>
            <w:pPr>
              <w:keepLines/>
              <w:spacing w:after="0"/>
            </w:pPr>
            <w:r>
              <w:rPr>
                <w:rFonts w:ascii="Aptos" w:hAnsi="Aptos"/>
                <w:b/>
                <w:i w:val="0"/>
                <w:color w:val="7A3045"/>
                <w:sz w:val="21"/>
              </w:rPr>
              <w:t xml:space="preserve">Decision statement: </w:t>
            </w:r>
            <w:r>
              <w:rPr>
                <w:rFonts w:ascii="Aptos" w:hAnsi="Aptos"/>
                <w:b w:val="0"/>
                <w:i w:val="0"/>
                <w:color w:val="1D2939"/>
                <w:sz w:val="21"/>
              </w:rPr>
              <w:t>For each digital-product merchant at onboarding or periodic review, recommend APPROVE, APPROVE_WITH_CONTROLS, MANUAL_REVIEW, or DECLINE, and calculate a traceable rolling-reserve rate and amount based on expected chargeback, refund, fraud, and merchant-failure exposure.</w:t>
            </w:r>
          </w:p>
        </w:tc>
      </w:tr>
    </w:tbl>
    <w:p>
      <w:pPr>
        <w:spacing w:after="0"/>
      </w:pPr>
    </w:p>
    <w:p>
      <w:pPr>
        <w:keepNext/>
        <w:spacing w:before="280" w:after="140" w:line="264" w:lineRule="auto"/>
        <w:jc w:val="left"/>
      </w:pPr>
      <w:r>
        <w:rPr>
          <w:rFonts w:ascii="Aptos" w:hAnsi="Aptos"/>
          <w:b/>
          <w:i w:val="0"/>
          <w:color w:val="10233F"/>
          <w:sz w:val="32"/>
        </w:rPr>
        <w:t>2. Business Problem and Opportunity</w:t>
      </w:r>
    </w:p>
    <w:p>
      <w:pPr>
        <w:keepNext w:val="0"/>
        <w:spacing w:before="0" w:after="120" w:line="264" w:lineRule="auto"/>
        <w:jc w:val="left"/>
      </w:pPr>
      <w:r>
        <w:rPr>
          <w:rFonts w:ascii="Aptos" w:hAnsi="Aptos"/>
          <w:b w:val="0"/>
          <w:i w:val="0"/>
          <w:color w:val="1D2939"/>
          <w:sz w:val="22"/>
        </w:rPr>
        <w:t>Digital products are increasingly important forms of consumption, but policies designed primarily for physical e-commerce may not capture their risk profile. Instant or intangible fulfillment, low marginal cost, rapid growth, international reach, repeated microtransactions, transferable virtual assets, and limited delivery evidence can change both the probability and timing of losses.</w:t>
      </w:r>
    </w:p>
    <w:p>
      <w:pPr>
        <w:keepNext/>
        <w:spacing w:before="200" w:after="100" w:line="264" w:lineRule="auto"/>
        <w:jc w:val="left"/>
      </w:pPr>
      <w:r>
        <w:rPr>
          <w:rFonts w:ascii="Aptos" w:hAnsi="Aptos"/>
          <w:b/>
          <w:i w:val="0"/>
          <w:color w:val="7A3045"/>
          <w:sz w:val="25"/>
        </w:rPr>
        <w:t>Financial cost of weak decisions</w:t>
      </w:r>
    </w:p>
    <w:p>
      <w:pPr>
        <w:pStyle w:val="ListBullet"/>
        <w:spacing w:after="80" w:line="264" w:lineRule="auto"/>
      </w:pPr>
      <w:r>
        <w:rPr>
          <w:rFonts w:ascii="Aptos" w:hAnsi="Aptos"/>
          <w:b w:val="0"/>
          <w:i w:val="0"/>
          <w:color w:val="1D2939"/>
          <w:sz w:val="21"/>
        </w:rPr>
        <w:t>Direct losses from unauthorized transactions, account takeover, synthetic identities, refund abuse, chargebacks, and unrecovered merchant balances.</w:t>
      </w:r>
    </w:p>
    <w:p>
      <w:pPr>
        <w:pStyle w:val="ListBullet"/>
        <w:spacing w:after="80" w:line="264" w:lineRule="auto"/>
      </w:pPr>
      <w:r>
        <w:rPr>
          <w:rFonts w:ascii="Aptos" w:hAnsi="Aptos"/>
          <w:b w:val="0"/>
          <w:i w:val="0"/>
          <w:color w:val="1D2939"/>
          <w:sz w:val="21"/>
        </w:rPr>
        <w:t>Revenue leakage when legitimate customers or healthy merchants are declined or burdened with excessive controls.</w:t>
      </w:r>
    </w:p>
    <w:p>
      <w:pPr>
        <w:pStyle w:val="ListBullet"/>
        <w:spacing w:after="80" w:line="264" w:lineRule="auto"/>
      </w:pPr>
      <w:r>
        <w:rPr>
          <w:rFonts w:ascii="Aptos" w:hAnsi="Aptos"/>
          <w:b w:val="0"/>
          <w:i w:val="0"/>
          <w:color w:val="1D2939"/>
          <w:sz w:val="21"/>
        </w:rPr>
        <w:t>Operating expense from manual review, disputes, customer support, investigations, and policy exceptions.</w:t>
      </w:r>
    </w:p>
    <w:p>
      <w:pPr>
        <w:pStyle w:val="ListBullet"/>
        <w:spacing w:after="80" w:line="264" w:lineRule="auto"/>
      </w:pPr>
      <w:r>
        <w:rPr>
          <w:rFonts w:ascii="Aptos" w:hAnsi="Aptos"/>
          <w:b w:val="0"/>
          <w:i w:val="0"/>
          <w:color w:val="1D2939"/>
          <w:sz w:val="21"/>
        </w:rPr>
        <w:t>Network consequences including processor restrictions, higher fees, reserve requirements, and reputational damage.</w:t>
      </w:r>
    </w:p>
    <w:p>
      <w:pPr>
        <w:pStyle w:val="ListBullet"/>
        <w:spacing w:after="80" w:line="264" w:lineRule="auto"/>
      </w:pPr>
      <w:r>
        <w:rPr>
          <w:rFonts w:ascii="Aptos" w:hAnsi="Aptos"/>
          <w:b w:val="0"/>
          <w:i w:val="0"/>
          <w:color w:val="1D2939"/>
          <w:sz w:val="21"/>
        </w:rPr>
        <w:t>Growth constraints when uncontrolled risk prevents expansion or excessive friction suppresses adoption.</w:t>
      </w:r>
    </w:p>
    <w:p>
      <w:pPr>
        <w:keepNext/>
        <w:spacing w:before="280" w:after="140" w:line="264" w:lineRule="auto"/>
        <w:jc w:val="left"/>
      </w:pPr>
      <w:r>
        <w:rPr>
          <w:rFonts w:ascii="Aptos" w:hAnsi="Aptos"/>
          <w:b/>
          <w:i w:val="0"/>
          <w:color w:val="10233F"/>
          <w:sz w:val="32"/>
        </w:rPr>
        <w:t>3. Product Definition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76"/>
            <w:shd w:fill="10233F"/>
            <w:tcMar>
              <w:top w:w="100" w:type="dxa"/>
              <w:start w:w="120" w:type="dxa"/>
              <w:bottom w:w="100" w:type="dxa"/>
              <w:end w:w="120" w:type="dxa"/>
            </w:tcMar>
            <w:vAlign w:val="center"/>
          </w:tcPr>
          <w:p>
            <w:pPr>
              <w:keepLines/>
              <w:spacing w:after="0"/>
            </w:pPr>
            <w:r>
              <w:rPr>
                <w:rFonts w:ascii="Aptos" w:hAnsi="Aptos"/>
                <w:b/>
                <w:i w:val="0"/>
                <w:color w:val="FFFFFF"/>
                <w:sz w:val="18"/>
              </w:rPr>
              <w:t>Element</w:t>
            </w:r>
          </w:p>
        </w:tc>
        <w:tc>
          <w:tcPr>
            <w:tcW w:type="dxa" w:w="6984"/>
            <w:shd w:fill="10233F"/>
            <w:tcMar>
              <w:top w:w="100" w:type="dxa"/>
              <w:start w:w="120" w:type="dxa"/>
              <w:bottom w:w="100" w:type="dxa"/>
              <w:end w:w="120" w:type="dxa"/>
            </w:tcMar>
            <w:vAlign w:val="center"/>
          </w:tcPr>
          <w:p>
            <w:pPr>
              <w:keepLines/>
              <w:spacing w:after="0"/>
            </w:pPr>
            <w:r>
              <w:rPr>
                <w:rFonts w:ascii="Aptos" w:hAnsi="Aptos"/>
                <w:b/>
                <w:i w:val="0"/>
                <w:color w:val="FFFFFF"/>
                <w:sz w:val="18"/>
              </w:rPr>
              <w:t>MVP definition</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Primary user</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Merchant-risk strategy analyst or underwriter at a digital payment platform</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Decision unit</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One merchant at onboarding or scheduled/triggered periodic review</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Observation window</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Signals known at the decision timestamp; no future information</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Performance window</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Loss and merchant outcomes observed over the following 90–180 days</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Actions</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Approve; approve with controls/reserve; manual review; decline</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Primary output</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Decision, risk score, expected loss, reserve rate/amount, reason codes, policy flags</w:t>
            </w:r>
          </w:p>
        </w:tc>
      </w:tr>
      <w:tr>
        <w:trPr>
          <w:cantSplit/>
        </w:trPr>
        <w:tc>
          <w:tcPr>
            <w:tcW w:type="dxa" w:w="23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Human oversight</w:t>
            </w:r>
          </w:p>
        </w:tc>
        <w:tc>
          <w:tcPr>
            <w:tcW w:type="dxa" w:w="698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Review queue and recorded override rationale for ambiguous or high-impact cases</w:t>
            </w:r>
          </w:p>
        </w:tc>
      </w:tr>
    </w:tbl>
    <w:p>
      <w:pPr>
        <w:spacing w:after="0"/>
      </w:pPr>
    </w:p>
    <w:p>
      <w:pPr>
        <w:keepNext/>
        <w:spacing w:before="200" w:after="100" w:line="264" w:lineRule="auto"/>
        <w:jc w:val="left"/>
      </w:pPr>
      <w:r>
        <w:rPr>
          <w:rFonts w:ascii="Aptos" w:hAnsi="Aptos"/>
          <w:b/>
          <w:i w:val="0"/>
          <w:color w:val="7A3045"/>
          <w:sz w:val="25"/>
        </w:rPr>
        <w:t>Jobs to be done</w:t>
      </w:r>
    </w:p>
    <w:p>
      <w:pPr>
        <w:pStyle w:val="ListBullet"/>
        <w:spacing w:after="80" w:line="264" w:lineRule="auto"/>
      </w:pPr>
      <w:r>
        <w:rPr>
          <w:rFonts w:ascii="Aptos" w:hAnsi="Aptos"/>
          <w:b w:val="0"/>
          <w:i w:val="0"/>
          <w:color w:val="1D2939"/>
          <w:sz w:val="21"/>
        </w:rPr>
        <w:t>When reviewing a merchant, identify the few drivers that materially change risk and explain them in plain language.</w:t>
      </w:r>
    </w:p>
    <w:p>
      <w:pPr>
        <w:pStyle w:val="ListBullet"/>
        <w:spacing w:after="80" w:line="264" w:lineRule="auto"/>
      </w:pPr>
      <w:r>
        <w:rPr>
          <w:rFonts w:ascii="Aptos" w:hAnsi="Aptos"/>
          <w:b w:val="0"/>
          <w:i w:val="0"/>
          <w:color w:val="1D2939"/>
          <w:sz w:val="21"/>
        </w:rPr>
        <w:t>When applying a reserve, connect the amount to exposure and policy rather than an unexplained percentage.</w:t>
      </w:r>
    </w:p>
    <w:p>
      <w:pPr>
        <w:pStyle w:val="ListBullet"/>
        <w:spacing w:after="80" w:line="264" w:lineRule="auto"/>
      </w:pPr>
      <w:r>
        <w:rPr>
          <w:rFonts w:ascii="Aptos" w:hAnsi="Aptos"/>
          <w:b w:val="0"/>
          <w:i w:val="0"/>
          <w:color w:val="1D2939"/>
          <w:sz w:val="21"/>
        </w:rPr>
        <w:t>When changing thresholds, quantify approval, loss, reserve, review-capacity, and revenue consequences.</w:t>
      </w:r>
    </w:p>
    <w:p>
      <w:pPr>
        <w:pStyle w:val="ListBullet"/>
        <w:spacing w:after="80" w:line="264" w:lineRule="auto"/>
      </w:pPr>
      <w:r>
        <w:rPr>
          <w:rFonts w:ascii="Aptos" w:hAnsi="Aptos"/>
          <w:b w:val="0"/>
          <w:i w:val="0"/>
          <w:color w:val="1D2939"/>
          <w:sz w:val="21"/>
        </w:rPr>
        <w:t>When challenged by governance or senior management, reproduce the recommendation from documented inputs and assumptions.</w:t>
      </w:r>
    </w:p>
    <w:p>
      <w:pPr>
        <w:keepNext/>
        <w:spacing w:before="200" w:after="100" w:line="264" w:lineRule="auto"/>
        <w:jc w:val="left"/>
      </w:pPr>
      <w:r>
        <w:rPr>
          <w:rFonts w:ascii="Aptos" w:hAnsi="Aptos"/>
          <w:b/>
          <w:i w:val="0"/>
          <w:color w:val="7A3045"/>
          <w:sz w:val="25"/>
        </w:rPr>
        <w:t>MVP scope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4680"/>
            <w:shd w:fill="10233F"/>
            <w:tcMar>
              <w:top w:w="100" w:type="dxa"/>
              <w:start w:w="120" w:type="dxa"/>
              <w:bottom w:w="100" w:type="dxa"/>
              <w:end w:w="120" w:type="dxa"/>
            </w:tcMar>
            <w:vAlign w:val="center"/>
          </w:tcPr>
          <w:p>
            <w:pPr>
              <w:keepLines/>
              <w:spacing w:after="0"/>
            </w:pPr>
            <w:r>
              <w:rPr>
                <w:rFonts w:ascii="Aptos" w:hAnsi="Aptos"/>
                <w:b/>
                <w:i w:val="0"/>
                <w:color w:val="FFFFFF"/>
                <w:sz w:val="18"/>
              </w:rPr>
              <w:t>In scope</w:t>
            </w:r>
          </w:p>
        </w:tc>
        <w:tc>
          <w:tcPr>
            <w:tcW w:type="dxa" w:w="4680"/>
            <w:shd w:fill="10233F"/>
            <w:tcMar>
              <w:top w:w="100" w:type="dxa"/>
              <w:start w:w="120" w:type="dxa"/>
              <w:bottom w:w="100" w:type="dxa"/>
              <w:end w:w="120" w:type="dxa"/>
            </w:tcMar>
            <w:vAlign w:val="center"/>
          </w:tcPr>
          <w:p>
            <w:pPr>
              <w:keepLines/>
              <w:spacing w:after="0"/>
            </w:pPr>
            <w:r>
              <w:rPr>
                <w:rFonts w:ascii="Aptos" w:hAnsi="Aptos"/>
                <w:b/>
                <w:i w:val="0"/>
                <w:color w:val="FFFFFF"/>
                <w:sz w:val="18"/>
              </w:rPr>
              <w:t>Out of scope for MVP</w:t>
            </w:r>
          </w:p>
        </w:tc>
      </w:tr>
      <w:tr>
        <w:trPr>
          <w:cantSplit/>
        </w:trPr>
        <w:tc>
          <w:tcPr>
            <w:tcW w:type="dxa" w:w="46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Synthetic merchant data; explainable scorecard; expected-loss framework; reserve policy; batch and single decisions; policy simulation; reviewer dashboard; API; tests; documentation</w:t>
            </w:r>
          </w:p>
        </w:tc>
        <w:tc>
          <w:tcPr>
            <w:tcW w:type="dxa" w:w="46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Live underwriting; personal customer data; transaction authorization in production; AML decisions; real accounting reserves; autonomous adverse action; country-specific legal compliance</w:t>
            </w:r>
          </w:p>
        </w:tc>
      </w:tr>
    </w:tbl>
    <w:p>
      <w:pPr>
        <w:spacing w:after="0"/>
      </w:pPr>
    </w:p>
    <w:p>
      <w:pPr>
        <w:keepNext/>
        <w:spacing w:before="280" w:after="140" w:line="264" w:lineRule="auto"/>
        <w:jc w:val="left"/>
      </w:pPr>
      <w:r>
        <w:rPr>
          <w:rFonts w:ascii="Aptos" w:hAnsi="Aptos"/>
          <w:b/>
          <w:i w:val="0"/>
          <w:color w:val="10233F"/>
          <w:sz w:val="32"/>
        </w:rPr>
        <w:t>4. Digital-Product Risk Framework</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44"/>
            <w:shd w:fill="10233F"/>
            <w:tcMar>
              <w:top w:w="100" w:type="dxa"/>
              <w:start w:w="120" w:type="dxa"/>
              <w:bottom w:w="100" w:type="dxa"/>
              <w:end w:w="120" w:type="dxa"/>
            </w:tcMar>
            <w:vAlign w:val="center"/>
          </w:tcPr>
          <w:p>
            <w:pPr>
              <w:keepLines/>
              <w:spacing w:after="0"/>
            </w:pPr>
            <w:r>
              <w:rPr>
                <w:rFonts w:ascii="Aptos" w:hAnsi="Aptos"/>
                <w:b/>
                <w:i w:val="0"/>
                <w:color w:val="FFFFFF"/>
                <w:sz w:val="18"/>
              </w:rPr>
              <w:t>Risk family</w:t>
            </w:r>
          </w:p>
        </w:tc>
        <w:tc>
          <w:tcPr>
            <w:tcW w:type="dxa" w:w="3744"/>
            <w:shd w:fill="10233F"/>
            <w:tcMar>
              <w:top w:w="100" w:type="dxa"/>
              <w:start w:w="120" w:type="dxa"/>
              <w:bottom w:w="100" w:type="dxa"/>
              <w:end w:w="120" w:type="dxa"/>
            </w:tcMar>
            <w:vAlign w:val="center"/>
          </w:tcPr>
          <w:p>
            <w:pPr>
              <w:keepLines/>
              <w:spacing w:after="0"/>
            </w:pPr>
            <w:r>
              <w:rPr>
                <w:rFonts w:ascii="Aptos" w:hAnsi="Aptos"/>
                <w:b/>
                <w:i w:val="0"/>
                <w:color w:val="FFFFFF"/>
                <w:sz w:val="18"/>
              </w:rPr>
              <w:t>Illustrative signals</w:t>
            </w:r>
          </w:p>
        </w:tc>
        <w:tc>
          <w:tcPr>
            <w:tcW w:type="dxa" w:w="3672"/>
            <w:shd w:fill="10233F"/>
            <w:tcMar>
              <w:top w:w="100" w:type="dxa"/>
              <w:start w:w="120" w:type="dxa"/>
              <w:bottom w:w="100" w:type="dxa"/>
              <w:end w:w="120" w:type="dxa"/>
            </w:tcMar>
            <w:vAlign w:val="center"/>
          </w:tcPr>
          <w:p>
            <w:pPr>
              <w:keepLines/>
              <w:spacing w:after="0"/>
            </w:pPr>
            <w:r>
              <w:rPr>
                <w:rFonts w:ascii="Aptos" w:hAnsi="Aptos"/>
                <w:b/>
                <w:i w:val="0"/>
                <w:color w:val="FFFFFF"/>
                <w:sz w:val="18"/>
              </w:rPr>
              <w:t>Why it matters</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Merchant viability</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Tenure, cash buffer, negative balances, revenue concentration</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Ability to absorb refunds, disputes, and operating shocks</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Payment quality</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Chargebacks, refunds, unauthorized claims, fraud alerts</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Direct loss and network monitoring exposure</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Growth and volatility</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Volume acceleration, volatility, new-user share</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Rapid scaling can outpace controls and historical evidence</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Product structure</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Instant delivery, subscriptions, virtual assets, refund window</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Changes fulfillment evidence, abuse incentives, and loss timing</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Customer behavior</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Repeat purchase, account age, device concentration, velocity</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Distinguishes healthy engagement from coordinated abuse</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Geographic exposure</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Cross-border share, corridor concentration, market tier</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Affects dispute patterns, recovery, and operating complexity</w:t>
            </w:r>
          </w:p>
        </w:tc>
      </w:tr>
      <w:tr>
        <w:trPr>
          <w:cantSplit/>
        </w:trPr>
        <w:tc>
          <w:tcPr>
            <w:tcW w:type="dxa" w:w="19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Operational resilience</w:t>
            </w:r>
          </w:p>
        </w:tc>
        <w:tc>
          <w:tcPr>
            <w:tcW w:type="dxa" w:w="37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Review burden, response time, seller concentration</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Determines whether risk controls are sustainable</w:t>
            </w:r>
          </w:p>
        </w:tc>
      </w:tr>
    </w:tbl>
    <w:p>
      <w:pPr>
        <w:spacing w:after="0"/>
      </w:pPr>
    </w:p>
    <w:p>
      <w:pPr>
        <w:keepNext/>
        <w:spacing w:before="280" w:after="140" w:line="264" w:lineRule="auto"/>
        <w:jc w:val="left"/>
      </w:pPr>
      <w:r>
        <w:rPr>
          <w:rFonts w:ascii="Aptos" w:hAnsi="Aptos"/>
          <w:b/>
          <w:i w:val="0"/>
          <w:color w:val="10233F"/>
          <w:sz w:val="32"/>
        </w:rPr>
        <w:t>5. Objectives and Metrics</w:t>
      </w:r>
    </w:p>
    <w:tbl>
      <w:tblPr>
        <w:tblW w:type="auto" w:w="0"/>
        <w:jc w:val="center"/>
        <w:tblLayout w:type="fixed"/>
        <w:tblLook w:firstColumn="1" w:firstRow="1" w:lastColumn="0" w:lastRow="0" w:noHBand="0" w:noVBand="1" w:val="04A0"/>
      </w:tblPr>
      <w:tblGrid>
        <w:gridCol w:w="9792"/>
      </w:tblGrid>
      <w:tr>
        <w:trPr>
          <w:cantSplit/>
        </w:trPr>
        <w:tc>
          <w:tcPr>
            <w:tcW w:type="dxa" w:w="9360"/>
            <w:shd w:fill="F8F3F1"/>
            <w:tcMar>
              <w:top w:w="150" w:type="dxa"/>
              <w:start w:w="180" w:type="dxa"/>
              <w:bottom w:w="150" w:type="dxa"/>
              <w:end w:w="180" w:type="dxa"/>
            </w:tcMar>
          </w:tcPr>
          <w:p>
            <w:pPr>
              <w:keepLines/>
              <w:spacing w:after="0"/>
            </w:pPr>
            <w:r>
              <w:rPr>
                <w:rFonts w:ascii="Aptos" w:hAnsi="Aptos"/>
                <w:b/>
                <w:i w:val="0"/>
                <w:color w:val="7A3045"/>
                <w:sz w:val="21"/>
              </w:rPr>
              <w:t xml:space="preserve">North-star metric: </w:t>
            </w:r>
            <w:r>
              <w:rPr>
                <w:rFonts w:ascii="Aptos" w:hAnsi="Aptos"/>
                <w:b w:val="0"/>
                <w:i w:val="0"/>
                <w:color w:val="1D2939"/>
                <w:sz w:val="21"/>
              </w:rPr>
              <w:t>Risk-adjusted contribution = approved payment revenue − fraud losses − chargeback and refund losses − manual-review cost − reserve-friction cost.</w:t>
            </w:r>
          </w:p>
        </w:tc>
      </w:tr>
    </w:tbl>
    <w:p>
      <w:pPr>
        <w:spacing w:after="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10233F"/>
            <w:tcMar>
              <w:top w:w="100" w:type="dxa"/>
              <w:start w:w="120" w:type="dxa"/>
              <w:bottom w:w="100" w:type="dxa"/>
              <w:end w:w="120" w:type="dxa"/>
            </w:tcMar>
            <w:vAlign w:val="center"/>
          </w:tcPr>
          <w:p>
            <w:pPr>
              <w:keepLines/>
              <w:spacing w:after="0"/>
            </w:pPr>
            <w:r>
              <w:rPr>
                <w:rFonts w:ascii="Aptos" w:hAnsi="Aptos"/>
                <w:b/>
                <w:i w:val="0"/>
                <w:color w:val="FFFFFF"/>
                <w:sz w:val="18"/>
              </w:rPr>
              <w:t>Category</w:t>
            </w:r>
          </w:p>
        </w:tc>
        <w:tc>
          <w:tcPr>
            <w:tcW w:type="dxa" w:w="4320"/>
            <w:shd w:fill="10233F"/>
            <w:tcMar>
              <w:top w:w="100" w:type="dxa"/>
              <w:start w:w="120" w:type="dxa"/>
              <w:bottom w:w="100" w:type="dxa"/>
              <w:end w:w="120" w:type="dxa"/>
            </w:tcMar>
            <w:vAlign w:val="center"/>
          </w:tcPr>
          <w:p>
            <w:pPr>
              <w:keepLines/>
              <w:spacing w:after="0"/>
            </w:pPr>
            <w:r>
              <w:rPr>
                <w:rFonts w:ascii="Aptos" w:hAnsi="Aptos"/>
                <w:b/>
                <w:i w:val="0"/>
                <w:color w:val="FFFFFF"/>
                <w:sz w:val="18"/>
              </w:rPr>
              <w:t>Metrics</w:t>
            </w:r>
          </w:p>
        </w:tc>
        <w:tc>
          <w:tcPr>
            <w:tcW w:type="dxa" w:w="3240"/>
            <w:shd w:fill="10233F"/>
            <w:tcMar>
              <w:top w:w="100" w:type="dxa"/>
              <w:start w:w="120" w:type="dxa"/>
              <w:bottom w:w="100" w:type="dxa"/>
              <w:end w:w="120" w:type="dxa"/>
            </w:tcMar>
            <w:vAlign w:val="center"/>
          </w:tcPr>
          <w:p>
            <w:pPr>
              <w:keepLines/>
              <w:spacing w:after="0"/>
            </w:pPr>
            <w:r>
              <w:rPr>
                <w:rFonts w:ascii="Aptos" w:hAnsi="Aptos"/>
                <w:b/>
                <w:i w:val="0"/>
                <w:color w:val="FFFFFF"/>
                <w:sz w:val="18"/>
              </w:rPr>
              <w:t>Purpose</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Risk</w:t>
            </w:r>
          </w:p>
        </w:tc>
        <w:tc>
          <w:tcPr>
            <w:tcW w:type="dxa" w:w="43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Fraud loss/TPV; chargeback rate; expected loss; realized loss; reserve coverage</w:t>
            </w:r>
          </w:p>
        </w:tc>
        <w:tc>
          <w:tcPr>
            <w:tcW w:type="dxa" w:w="32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Protect platform economics and network standing</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Growth</w:t>
            </w:r>
          </w:p>
        </w:tc>
        <w:tc>
          <w:tcPr>
            <w:tcW w:type="dxa" w:w="43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Approval rate; approved TPV; conversion; repeat purchase; merchant retention</w:t>
            </w:r>
          </w:p>
        </w:tc>
        <w:tc>
          <w:tcPr>
            <w:tcW w:type="dxa" w:w="32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Preserve legitimate commercial activity</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Customer experience</w:t>
            </w:r>
          </w:p>
        </w:tc>
        <w:tc>
          <w:tcPr>
            <w:tcW w:type="dxa" w:w="43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False-positive rate; complaints; post-attempt retention</w:t>
            </w:r>
          </w:p>
        </w:tc>
        <w:tc>
          <w:tcPr>
            <w:tcW w:type="dxa" w:w="32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Prevent unnecessary user friction</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Operations</w:t>
            </w:r>
          </w:p>
        </w:tc>
        <w:tc>
          <w:tcPr>
            <w:tcW w:type="dxa" w:w="43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Manual-review rate; cost/review; queue size; latency; override rate</w:t>
            </w:r>
          </w:p>
        </w:tc>
        <w:tc>
          <w:tcPr>
            <w:tcW w:type="dxa" w:w="32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Maintain scalable controls</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Model quality</w:t>
            </w:r>
          </w:p>
        </w:tc>
        <w:tc>
          <w:tcPr>
            <w:tcW w:type="dxa" w:w="43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AUC/Gini; calibration; Brier score; stability; loss by score band</w:t>
            </w:r>
          </w:p>
        </w:tc>
        <w:tc>
          <w:tcPr>
            <w:tcW w:type="dxa" w:w="32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Validate discrimination and reliability</w:t>
            </w:r>
          </w:p>
        </w:tc>
      </w:tr>
    </w:tbl>
    <w:p>
      <w:pPr>
        <w:spacing w:after="0"/>
      </w:pPr>
    </w:p>
    <w:p>
      <w:pPr>
        <w:keepNext w:val="0"/>
        <w:spacing w:before="0" w:after="120" w:line="264" w:lineRule="auto"/>
        <w:jc w:val="left"/>
      </w:pPr>
      <w:r>
        <w:rPr>
          <w:rFonts w:ascii="Aptos" w:hAnsi="Aptos"/>
          <w:b w:val="0"/>
          <w:i/>
          <w:color w:val="667085"/>
          <w:sz w:val="22"/>
        </w:rPr>
        <w:t>Illustrative success criterion: increase legitimate approval or approved TPV while holding fraud loss and chargeback rates within defined policy limits and without exceeding manual-review capacity.</w:t>
      </w:r>
    </w:p>
    <w:p>
      <w:pPr>
        <w:keepNext/>
        <w:spacing w:before="280" w:after="140" w:line="264" w:lineRule="auto"/>
        <w:jc w:val="left"/>
      </w:pPr>
      <w:r>
        <w:rPr>
          <w:rFonts w:ascii="Aptos" w:hAnsi="Aptos"/>
          <w:b/>
          <w:i w:val="0"/>
          <w:color w:val="10233F"/>
          <w:sz w:val="32"/>
        </w:rPr>
        <w:t>6. Decision Methodology</w:t>
      </w:r>
    </w:p>
    <w:p>
      <w:pPr>
        <w:pStyle w:val="ListNumber"/>
        <w:spacing w:after="80" w:line="264" w:lineRule="auto"/>
      </w:pPr>
      <w:r>
        <w:rPr>
          <w:rFonts w:ascii="Aptos" w:hAnsi="Aptos"/>
          <w:b w:val="0"/>
          <w:i w:val="0"/>
          <w:color w:val="1D2939"/>
          <w:sz w:val="21"/>
        </w:rPr>
        <w:t>Validate required fields, timestamps, ranges, and leakage boundaries.</w:t>
      </w:r>
    </w:p>
    <w:p>
      <w:pPr>
        <w:pStyle w:val="ListNumber"/>
        <w:spacing w:after="80" w:line="264" w:lineRule="auto"/>
      </w:pPr>
      <w:r>
        <w:rPr>
          <w:rFonts w:ascii="Aptos" w:hAnsi="Aptos"/>
          <w:b w:val="0"/>
          <w:i w:val="0"/>
          <w:color w:val="1D2939"/>
          <w:sz w:val="21"/>
        </w:rPr>
        <w:t>Compute an explainable merchant risk score and driver-level reason codes.</w:t>
      </w:r>
    </w:p>
    <w:p>
      <w:pPr>
        <w:pStyle w:val="ListNumber"/>
        <w:spacing w:after="80" w:line="264" w:lineRule="auto"/>
      </w:pPr>
      <w:r>
        <w:rPr>
          <w:rFonts w:ascii="Aptos" w:hAnsi="Aptos"/>
          <w:b w:val="0"/>
          <w:i w:val="0"/>
          <w:color w:val="1D2939"/>
          <w:sz w:val="21"/>
        </w:rPr>
        <w:t>Map the score to a calibrated probability of adverse merchant outcome.</w:t>
      </w:r>
    </w:p>
    <w:p>
      <w:pPr>
        <w:pStyle w:val="ListNumber"/>
        <w:spacing w:after="80" w:line="264" w:lineRule="auto"/>
      </w:pPr>
      <w:r>
        <w:rPr>
          <w:rFonts w:ascii="Aptos" w:hAnsi="Aptos"/>
          <w:b w:val="0"/>
          <w:i w:val="0"/>
          <w:color w:val="1D2939"/>
          <w:sz w:val="21"/>
        </w:rPr>
        <w:t>Estimate exposure at default from projected volume, fulfillment/refund timing, and settlement exposure.</w:t>
      </w:r>
    </w:p>
    <w:p>
      <w:pPr>
        <w:pStyle w:val="ListNumber"/>
        <w:spacing w:after="80" w:line="264" w:lineRule="auto"/>
      </w:pPr>
      <w:r>
        <w:rPr>
          <w:rFonts w:ascii="Aptos" w:hAnsi="Aptos"/>
          <w:b w:val="0"/>
          <w:i w:val="0"/>
          <w:color w:val="1D2939"/>
          <w:sz w:val="21"/>
        </w:rPr>
        <w:t>Calculate expected loss as probability of default × loss given default × exposure at default.</w:t>
      </w:r>
    </w:p>
    <w:p>
      <w:pPr>
        <w:pStyle w:val="ListNumber"/>
        <w:spacing w:after="80" w:line="264" w:lineRule="auto"/>
      </w:pPr>
      <w:r>
        <w:rPr>
          <w:rFonts w:ascii="Aptos" w:hAnsi="Aptos"/>
          <w:b w:val="0"/>
          <w:i w:val="0"/>
          <w:color w:val="1D2939"/>
          <w:sz w:val="21"/>
        </w:rPr>
        <w:t>Apply hard policy rules and human-review triggers before the final action.</w:t>
      </w:r>
    </w:p>
    <w:p>
      <w:pPr>
        <w:pStyle w:val="ListNumber"/>
        <w:spacing w:after="80" w:line="264" w:lineRule="auto"/>
      </w:pPr>
      <w:r>
        <w:rPr>
          <w:rFonts w:ascii="Aptos" w:hAnsi="Aptos"/>
          <w:b w:val="0"/>
          <w:i w:val="0"/>
          <w:color w:val="1D2939"/>
          <w:sz w:val="21"/>
        </w:rPr>
        <w:t>Recommend a reserve using loss coverage, minimum policy floors, caps, and merchant-friction constraints.</w:t>
      </w:r>
    </w:p>
    <w:p>
      <w:pPr>
        <w:pStyle w:val="ListNumber"/>
        <w:spacing w:after="80" w:line="264" w:lineRule="auto"/>
      </w:pPr>
      <w:r>
        <w:rPr>
          <w:rFonts w:ascii="Aptos" w:hAnsi="Aptos"/>
          <w:b w:val="0"/>
          <w:i w:val="0"/>
          <w:color w:val="1D2939"/>
          <w:sz w:val="21"/>
        </w:rPr>
        <w:t>Return the decision, calculations, reasons, flags, model version, and policy version through the API.</w:t>
      </w:r>
    </w:p>
    <w:tbl>
      <w:tblPr>
        <w:tblW w:type="auto" w:w="0"/>
        <w:jc w:val="center"/>
        <w:tblLayout w:type="fixed"/>
        <w:tblLook w:firstColumn="1" w:firstRow="1" w:lastColumn="0" w:lastRow="0" w:noHBand="0" w:noVBand="1" w:val="04A0"/>
      </w:tblPr>
      <w:tblGrid>
        <w:gridCol w:w="9792"/>
      </w:tblGrid>
      <w:tr>
        <w:trPr>
          <w:cantSplit/>
        </w:trPr>
        <w:tc>
          <w:tcPr>
            <w:tcW w:type="dxa" w:w="9360"/>
            <w:shd w:fill="F8F3F1"/>
            <w:tcMar>
              <w:top w:w="150" w:type="dxa"/>
              <w:start w:w="180" w:type="dxa"/>
              <w:bottom w:w="150" w:type="dxa"/>
              <w:end w:w="180" w:type="dxa"/>
            </w:tcMar>
          </w:tcPr>
          <w:p>
            <w:pPr>
              <w:keepLines/>
              <w:spacing w:after="0"/>
            </w:pPr>
            <w:r>
              <w:rPr>
                <w:rFonts w:ascii="Aptos" w:hAnsi="Aptos"/>
                <w:b/>
                <w:i w:val="0"/>
                <w:color w:val="7A3045"/>
                <w:sz w:val="21"/>
              </w:rPr>
              <w:t xml:space="preserve">Governance principle: </w:t>
            </w:r>
            <w:r>
              <w:rPr>
                <w:rFonts w:ascii="Aptos" w:hAnsi="Aptos"/>
                <w:b w:val="0"/>
                <w:i w:val="0"/>
                <w:color w:val="1D2939"/>
                <w:sz w:val="21"/>
              </w:rPr>
              <w:t>The model informs the policy decision; it does not silently override hard controls. Every restricted decision must include human-readable reasons, and every manual override must be auditable.</w:t>
            </w:r>
          </w:p>
        </w:tc>
      </w:tr>
    </w:tbl>
    <w:p>
      <w:pPr>
        <w:spacing w:after="0"/>
      </w:pPr>
    </w:p>
    <w:p>
      <w:pPr>
        <w:keepNext/>
        <w:spacing w:before="280" w:after="140" w:line="264" w:lineRule="auto"/>
        <w:jc w:val="left"/>
      </w:pPr>
      <w:r>
        <w:rPr>
          <w:rFonts w:ascii="Aptos" w:hAnsi="Aptos"/>
          <w:b/>
          <w:i w:val="0"/>
          <w:color w:val="10233F"/>
          <w:sz w:val="32"/>
        </w:rPr>
        <w:t>7. Data Requirements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448"/>
            <w:shd w:fill="10233F"/>
            <w:tcMar>
              <w:top w:w="100" w:type="dxa"/>
              <w:start w:w="120" w:type="dxa"/>
              <w:bottom w:w="100" w:type="dxa"/>
              <w:end w:w="120" w:type="dxa"/>
            </w:tcMar>
            <w:vAlign w:val="center"/>
          </w:tcPr>
          <w:p>
            <w:pPr>
              <w:keepLines/>
              <w:spacing w:after="0"/>
            </w:pPr>
            <w:r>
              <w:rPr>
                <w:rFonts w:ascii="Aptos" w:hAnsi="Aptos"/>
                <w:b/>
                <w:i w:val="0"/>
                <w:color w:val="FFFFFF"/>
                <w:sz w:val="18"/>
              </w:rPr>
              <w:t>Data domain</w:t>
            </w:r>
          </w:p>
        </w:tc>
        <w:tc>
          <w:tcPr>
            <w:tcW w:type="dxa" w:w="6912"/>
            <w:shd w:fill="10233F"/>
            <w:tcMar>
              <w:top w:w="100" w:type="dxa"/>
              <w:start w:w="120" w:type="dxa"/>
              <w:bottom w:w="100" w:type="dxa"/>
              <w:end w:w="120" w:type="dxa"/>
            </w:tcMar>
            <w:vAlign w:val="center"/>
          </w:tcPr>
          <w:p>
            <w:pPr>
              <w:keepLines/>
              <w:spacing w:after="0"/>
            </w:pPr>
            <w:r>
              <w:rPr>
                <w:rFonts w:ascii="Aptos" w:hAnsi="Aptos"/>
                <w:b/>
                <w:i w:val="0"/>
                <w:color w:val="FFFFFF"/>
                <w:sz w:val="18"/>
              </w:rPr>
              <w:t>Representative fields</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Merchant profile</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Merchant ID, industry subtype, geography, tenure, ownership/business verification status</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Volume and growth</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Average monthly TPV, projected TPV, three-month growth, volatility, concentration</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Loss signals</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Chargeback, refund, fraud-alert, unauthorized-claim, and negative-balance rates</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Digital-product structure</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Product type, delivery model, refund window, subscription share, transferability</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Behavior</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New-user share, repeat-purchase rate, account/device concentration, transaction velocity</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Financial resilience</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Cash-buffer estimate, negative-balance history, payout/settlement exposure</w:t>
            </w:r>
          </w:p>
        </w:tc>
      </w:tr>
      <w:tr>
        <w:trPr>
          <w:cantSplit/>
        </w:trPr>
        <w:tc>
          <w:tcPr>
            <w:tcW w:type="dxa" w:w="244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Outcomes</w:t>
            </w:r>
          </w:p>
        </w:tc>
        <w:tc>
          <w:tcPr>
            <w:tcW w:type="dxa" w:w="691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Future adverse event, loss amount, recovery, chargeback/refund outcomes; validation only</w:t>
            </w:r>
          </w:p>
        </w:tc>
      </w:tr>
    </w:tbl>
    <w:p>
      <w:pPr>
        <w:spacing w:after="0"/>
      </w:pPr>
    </w:p>
    <w:p>
      <w:pPr>
        <w:keepNext w:val="0"/>
        <w:spacing w:before="0" w:after="120" w:line="264" w:lineRule="auto"/>
        <w:jc w:val="left"/>
      </w:pPr>
      <w:r>
        <w:rPr>
          <w:rFonts w:ascii="Aptos" w:hAnsi="Aptos"/>
          <w:b w:val="0"/>
          <w:i/>
          <w:color w:val="7A3045"/>
          <w:sz w:val="22"/>
        </w:rPr>
        <w:t>All portfolio demonstrations will use deterministic synthetic data. Synthetic generation must document assumptions, correlations, label creation, temporal drift, and limitations; it must never be presented as actual platform performance.</w:t>
      </w:r>
    </w:p>
    <w:p>
      <w:pPr>
        <w:keepNext/>
        <w:spacing w:before="280" w:after="140" w:line="264" w:lineRule="auto"/>
        <w:jc w:val="left"/>
      </w:pPr>
      <w:r>
        <w:rPr>
          <w:rFonts w:ascii="Aptos" w:hAnsi="Aptos"/>
          <w:b/>
          <w:i w:val="0"/>
          <w:color w:val="10233F"/>
          <w:sz w:val="32"/>
        </w:rPr>
        <w:t>8. API-First System Architecture</w:t>
      </w:r>
    </w:p>
    <w:p>
      <w:pPr>
        <w:keepNext w:val="0"/>
        <w:spacing w:before="0" w:after="120" w:line="264" w:lineRule="auto"/>
        <w:jc w:val="left"/>
      </w:pPr>
      <w:r>
        <w:rPr>
          <w:rFonts w:ascii="Aptos" w:hAnsi="Aptos"/>
          <w:b w:val="0"/>
          <w:i w:val="0"/>
          <w:color w:val="1D2939"/>
          <w:sz w:val="22"/>
        </w:rPr>
        <w:t>The decision engine will be implemented as a reusable domain library behind a versioned web API. The portfolio website will consume the API rather than embedding model logic in the interface. This separation allows independent testing, deployment, and replacement of the website frontend.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656"/>
            <w:shd w:fill="10233F"/>
            <w:tcMar>
              <w:top w:w="100" w:type="dxa"/>
              <w:start w:w="120" w:type="dxa"/>
              <w:bottom w:w="100" w:type="dxa"/>
              <w:end w:w="120" w:type="dxa"/>
            </w:tcMar>
            <w:vAlign w:val="center"/>
          </w:tcPr>
          <w:p>
            <w:pPr>
              <w:keepLines/>
              <w:spacing w:after="0"/>
            </w:pPr>
            <w:r>
              <w:rPr>
                <w:rFonts w:ascii="Aptos" w:hAnsi="Aptos"/>
                <w:b/>
                <w:i w:val="0"/>
                <w:color w:val="FFFFFF"/>
                <w:sz w:val="18"/>
              </w:rPr>
              <w:t>Layer</w:t>
            </w:r>
          </w:p>
        </w:tc>
        <w:tc>
          <w:tcPr>
            <w:tcW w:type="dxa" w:w="3528"/>
            <w:shd w:fill="10233F"/>
            <w:tcMar>
              <w:top w:w="100" w:type="dxa"/>
              <w:start w:w="120" w:type="dxa"/>
              <w:bottom w:w="100" w:type="dxa"/>
              <w:end w:w="120" w:type="dxa"/>
            </w:tcMar>
            <w:vAlign w:val="center"/>
          </w:tcPr>
          <w:p>
            <w:pPr>
              <w:keepLines/>
              <w:spacing w:after="0"/>
            </w:pPr>
            <w:r>
              <w:rPr>
                <w:rFonts w:ascii="Aptos" w:hAnsi="Aptos"/>
                <w:b/>
                <w:i w:val="0"/>
                <w:color w:val="FFFFFF"/>
                <w:sz w:val="18"/>
              </w:rPr>
              <w:t>Responsibility</w:t>
            </w:r>
          </w:p>
        </w:tc>
        <w:tc>
          <w:tcPr>
            <w:tcW w:type="dxa" w:w="4176"/>
            <w:shd w:fill="10233F"/>
            <w:tcMar>
              <w:top w:w="100" w:type="dxa"/>
              <w:start w:w="120" w:type="dxa"/>
              <w:bottom w:w="100" w:type="dxa"/>
              <w:end w:w="120" w:type="dxa"/>
            </w:tcMar>
            <w:vAlign w:val="center"/>
          </w:tcPr>
          <w:p>
            <w:pPr>
              <w:keepLines/>
              <w:spacing w:after="0"/>
            </w:pPr>
            <w:r>
              <w:rPr>
                <w:rFonts w:ascii="Aptos" w:hAnsi="Aptos"/>
                <w:b/>
                <w:i w:val="0"/>
                <w:color w:val="FFFFFF"/>
                <w:sz w:val="18"/>
              </w:rPr>
              <w:t>Recommended implementation</w:t>
            </w:r>
          </w:p>
        </w:tc>
      </w:tr>
      <w:tr>
        <w:trPr>
          <w:cantSplit/>
        </w:trPr>
        <w:tc>
          <w:tcPr>
            <w:tcW w:type="dxa" w:w="16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Core domain</w:t>
            </w:r>
          </w:p>
        </w:tc>
        <w:tc>
          <w:tcPr>
            <w:tcW w:type="dxa" w:w="35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Scoring, expected loss, reserve policy, reason codes</w:t>
            </w:r>
          </w:p>
        </w:tc>
        <w:tc>
          <w:tcPr>
            <w:tcW w:type="dxa" w:w="41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Typed Python package with no web-framework dependency</w:t>
            </w:r>
          </w:p>
        </w:tc>
      </w:tr>
      <w:tr>
        <w:trPr>
          <w:cantSplit/>
        </w:trPr>
        <w:tc>
          <w:tcPr>
            <w:tcW w:type="dxa" w:w="16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API</w:t>
            </w:r>
          </w:p>
        </w:tc>
        <w:tc>
          <w:tcPr>
            <w:tcW w:type="dxa" w:w="35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Validation, authentication boundary, versioned endpoints, OpenAPI</w:t>
            </w:r>
          </w:p>
        </w:tc>
        <w:tc>
          <w:tcPr>
            <w:tcW w:type="dxa" w:w="41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FastAPI + Pydantic</w:t>
            </w:r>
          </w:p>
        </w:tc>
      </w:tr>
      <w:tr>
        <w:trPr>
          <w:cantSplit/>
        </w:trPr>
        <w:tc>
          <w:tcPr>
            <w:tcW w:type="dxa" w:w="16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Persistence</w:t>
            </w:r>
          </w:p>
        </w:tc>
        <w:tc>
          <w:tcPr>
            <w:tcW w:type="dxa" w:w="35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Policies, model metadata, optional scenario runs</w:t>
            </w:r>
          </w:p>
        </w:tc>
        <w:tc>
          <w:tcPr>
            <w:tcW w:type="dxa" w:w="41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SQLite locally; PostgreSQL-compatible production interface</w:t>
            </w:r>
          </w:p>
        </w:tc>
      </w:tr>
      <w:tr>
        <w:trPr>
          <w:cantSplit/>
        </w:trPr>
        <w:tc>
          <w:tcPr>
            <w:tcW w:type="dxa" w:w="16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Frontend</w:t>
            </w:r>
          </w:p>
        </w:tc>
        <w:tc>
          <w:tcPr>
            <w:tcW w:type="dxa" w:w="35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Reviewer dashboard, merchant simulator, policy frontier</w:t>
            </w:r>
          </w:p>
        </w:tc>
        <w:tc>
          <w:tcPr>
            <w:tcW w:type="dxa" w:w="41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Responsive React/Next.js module or framework-compatible component</w:t>
            </w:r>
          </w:p>
        </w:tc>
      </w:tr>
      <w:tr>
        <w:trPr>
          <w:cantSplit/>
        </w:trPr>
        <w:tc>
          <w:tcPr>
            <w:tcW w:type="dxa" w:w="16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Observability</w:t>
            </w:r>
          </w:p>
        </w:tc>
        <w:tc>
          <w:tcPr>
            <w:tcW w:type="dxa" w:w="35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Structured logs, request IDs, latency, errors, health</w:t>
            </w:r>
          </w:p>
        </w:tc>
        <w:tc>
          <w:tcPr>
            <w:tcW w:type="dxa" w:w="41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Environment-configurable structured logging</w:t>
            </w:r>
          </w:p>
        </w:tc>
      </w:tr>
      <w:tr>
        <w:trPr>
          <w:cantSplit/>
        </w:trPr>
        <w:tc>
          <w:tcPr>
            <w:tcW w:type="dxa" w:w="16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Deployment</w:t>
            </w:r>
          </w:p>
        </w:tc>
        <w:tc>
          <w:tcPr>
            <w:tcW w:type="dxa" w:w="35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Remote API and portable frontend</w:t>
            </w:r>
          </w:p>
        </w:tc>
        <w:tc>
          <w:tcPr>
            <w:tcW w:type="dxa" w:w="417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Docker, environment variables, CI checks, cloud-agnostic instructions</w:t>
            </w:r>
          </w:p>
        </w:tc>
      </w:tr>
    </w:tbl>
    <w:p>
      <w:pPr>
        <w:spacing w:after="0"/>
      </w:pPr>
    </w:p>
    <w:p>
      <w:pPr>
        <w:keepNext/>
        <w:spacing w:before="200" w:after="100" w:line="264" w:lineRule="auto"/>
        <w:jc w:val="left"/>
      </w:pPr>
      <w:r>
        <w:rPr>
          <w:rFonts w:ascii="Aptos" w:hAnsi="Aptos"/>
          <w:b/>
          <w:i w:val="0"/>
          <w:color w:val="7A3045"/>
          <w:sz w:val="25"/>
        </w:rPr>
        <w:t>Required endpoints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168"/>
            <w:shd w:fill="10233F"/>
            <w:tcMar>
              <w:top w:w="100" w:type="dxa"/>
              <w:start w:w="120" w:type="dxa"/>
              <w:bottom w:w="100" w:type="dxa"/>
              <w:end w:w="120" w:type="dxa"/>
            </w:tcMar>
            <w:vAlign w:val="center"/>
          </w:tcPr>
          <w:p>
            <w:pPr>
              <w:keepLines/>
              <w:spacing w:after="0"/>
            </w:pPr>
            <w:r>
              <w:rPr>
                <w:rFonts w:ascii="Aptos" w:hAnsi="Aptos"/>
                <w:b/>
                <w:i w:val="0"/>
                <w:color w:val="FFFFFF"/>
                <w:sz w:val="18"/>
              </w:rPr>
              <w:t>Method and path</w:t>
            </w:r>
          </w:p>
        </w:tc>
        <w:tc>
          <w:tcPr>
            <w:tcW w:type="dxa" w:w="6192"/>
            <w:shd w:fill="10233F"/>
            <w:tcMar>
              <w:top w:w="100" w:type="dxa"/>
              <w:start w:w="120" w:type="dxa"/>
              <w:bottom w:w="100" w:type="dxa"/>
              <w:end w:w="120" w:type="dxa"/>
            </w:tcMar>
            <w:vAlign w:val="center"/>
          </w:tcPr>
          <w:p>
            <w:pPr>
              <w:keepLines/>
              <w:spacing w:after="0"/>
            </w:pPr>
            <w:r>
              <w:rPr>
                <w:rFonts w:ascii="Aptos" w:hAnsi="Aptos"/>
                <w:b/>
                <w:i w:val="0"/>
                <w:color w:val="FFFFFF"/>
                <w:sz w:val="18"/>
              </w:rPr>
              <w:t>Purpose</w:t>
            </w:r>
          </w:p>
        </w:tc>
      </w:tr>
      <w:tr>
        <w:trPr>
          <w:cantSplit/>
        </w:trPr>
        <w:tc>
          <w:tcPr>
            <w:tcW w:type="dxa" w:w="316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GET /health</w:t>
            </w:r>
          </w:p>
        </w:tc>
        <w:tc>
          <w:tcPr>
            <w:tcW w:type="dxa" w:w="619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Deployment health and version information</w:t>
            </w:r>
          </w:p>
        </w:tc>
      </w:tr>
      <w:tr>
        <w:trPr>
          <w:cantSplit/>
        </w:trPr>
        <w:tc>
          <w:tcPr>
            <w:tcW w:type="dxa" w:w="316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GET /v1/model-card</w:t>
            </w:r>
          </w:p>
        </w:tc>
        <w:tc>
          <w:tcPr>
            <w:tcW w:type="dxa" w:w="619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Model purpose, limitations, version, and validation status</w:t>
            </w:r>
          </w:p>
        </w:tc>
      </w:tr>
      <w:tr>
        <w:trPr>
          <w:cantSplit/>
        </w:trPr>
        <w:tc>
          <w:tcPr>
            <w:tcW w:type="dxa" w:w="316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POST /v1/merchants/decision</w:t>
            </w:r>
          </w:p>
        </w:tc>
        <w:tc>
          <w:tcPr>
            <w:tcW w:type="dxa" w:w="619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Single merchant decision with complete explanation</w:t>
            </w:r>
          </w:p>
        </w:tc>
      </w:tr>
      <w:tr>
        <w:trPr>
          <w:cantSplit/>
        </w:trPr>
        <w:tc>
          <w:tcPr>
            <w:tcW w:type="dxa" w:w="316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POST /v1/merchants/batch</w:t>
            </w:r>
          </w:p>
        </w:tc>
        <w:tc>
          <w:tcPr>
            <w:tcW w:type="dxa" w:w="619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Bounded batch decision workflow</w:t>
            </w:r>
          </w:p>
        </w:tc>
      </w:tr>
      <w:tr>
        <w:trPr>
          <w:cantSplit/>
        </w:trPr>
        <w:tc>
          <w:tcPr>
            <w:tcW w:type="dxa" w:w="316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POST /v1/policies/simulate</w:t>
            </w:r>
          </w:p>
        </w:tc>
        <w:tc>
          <w:tcPr>
            <w:tcW w:type="dxa" w:w="619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Threshold and reserve-policy scenario comparison</w:t>
            </w:r>
          </w:p>
        </w:tc>
      </w:tr>
      <w:tr>
        <w:trPr>
          <w:cantSplit/>
        </w:trPr>
        <w:tc>
          <w:tcPr>
            <w:tcW w:type="dxa" w:w="316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GET /v1/schema</w:t>
            </w:r>
          </w:p>
        </w:tc>
        <w:tc>
          <w:tcPr>
            <w:tcW w:type="dxa" w:w="619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Public feature dictionary and example payload</w:t>
            </w:r>
          </w:p>
        </w:tc>
      </w:tr>
    </w:tbl>
    <w:p>
      <w:pPr>
        <w:spacing w:after="0"/>
      </w:pPr>
    </w:p>
    <w:p>
      <w:pPr>
        <w:keepNext/>
        <w:spacing w:before="200" w:after="100" w:line="264" w:lineRule="auto"/>
        <w:jc w:val="left"/>
      </w:pPr>
      <w:r>
        <w:rPr>
          <w:rFonts w:ascii="Aptos" w:hAnsi="Aptos"/>
          <w:b/>
          <w:i w:val="0"/>
          <w:color w:val="7A3045"/>
          <w:sz w:val="25"/>
        </w:rPr>
        <w:t>Portfolio integration requirements</w:t>
      </w:r>
    </w:p>
    <w:p>
      <w:pPr>
        <w:pStyle w:val="ListBullet"/>
        <w:spacing w:after="80" w:line="264" w:lineRule="auto"/>
      </w:pPr>
      <w:r>
        <w:rPr>
          <w:rFonts w:ascii="Aptos" w:hAnsi="Aptos"/>
          <w:b w:val="0"/>
          <w:i w:val="0"/>
          <w:color w:val="1D2939"/>
          <w:sz w:val="21"/>
        </w:rPr>
        <w:t>Expose the API base URL through environment configuration; never hard-code deployment addresses.</w:t>
      </w:r>
    </w:p>
    <w:p>
      <w:pPr>
        <w:pStyle w:val="ListBullet"/>
        <w:spacing w:after="80" w:line="264" w:lineRule="auto"/>
      </w:pPr>
      <w:r>
        <w:rPr>
          <w:rFonts w:ascii="Aptos" w:hAnsi="Aptos"/>
          <w:b w:val="0"/>
          <w:i w:val="0"/>
          <w:color w:val="1D2939"/>
          <w:sz w:val="21"/>
        </w:rPr>
        <w:t>Provide controlled CORS configuration for the portfolio domain and localhost development.</w:t>
      </w:r>
    </w:p>
    <w:p>
      <w:pPr>
        <w:pStyle w:val="ListBullet"/>
        <w:spacing w:after="80" w:line="264" w:lineRule="auto"/>
      </w:pPr>
      <w:r>
        <w:rPr>
          <w:rFonts w:ascii="Aptos" w:hAnsi="Aptos"/>
          <w:b w:val="0"/>
          <w:i w:val="0"/>
          <w:color w:val="1D2939"/>
          <w:sz w:val="21"/>
        </w:rPr>
        <w:t>Ship a self-contained demo component or page that can be linked, embedded, or adapted without copying model code.</w:t>
      </w:r>
    </w:p>
    <w:p>
      <w:pPr>
        <w:pStyle w:val="ListBullet"/>
        <w:spacing w:after="80" w:line="264" w:lineRule="auto"/>
      </w:pPr>
      <w:r>
        <w:rPr>
          <w:rFonts w:ascii="Aptos" w:hAnsi="Aptos"/>
          <w:b w:val="0"/>
          <w:i w:val="0"/>
          <w:color w:val="1D2939"/>
          <w:sz w:val="21"/>
        </w:rPr>
        <w:t>Provide loading, error, empty, and degraded states, plus a documented static fallback for portfolio reliability.</w:t>
      </w:r>
    </w:p>
    <w:p>
      <w:pPr>
        <w:pStyle w:val="ListBullet"/>
        <w:spacing w:after="80" w:line="264" w:lineRule="auto"/>
      </w:pPr>
      <w:r>
        <w:rPr>
          <w:rFonts w:ascii="Aptos" w:hAnsi="Aptos"/>
          <w:b w:val="0"/>
          <w:i w:val="0"/>
          <w:color w:val="1D2939"/>
          <w:sz w:val="21"/>
        </w:rPr>
        <w:t>Keep sample requests deterministic and safe for public use; prohibit uploads of real personal or confidential data.</w:t>
      </w:r>
    </w:p>
    <w:p>
      <w:pPr>
        <w:pStyle w:val="ListBullet"/>
        <w:spacing w:after="80" w:line="264" w:lineRule="auto"/>
      </w:pPr>
      <w:r>
        <w:rPr>
          <w:rFonts w:ascii="Aptos" w:hAnsi="Aptos"/>
          <w:b w:val="0"/>
          <w:i w:val="0"/>
          <w:color w:val="1D2939"/>
          <w:sz w:val="21"/>
        </w:rPr>
        <w:t>Publish OpenAPI documentation, example requests, response schemas, and deployment instructions.</w:t>
      </w:r>
    </w:p>
    <w:p>
      <w:pPr>
        <w:keepNext/>
        <w:spacing w:before="280" w:after="140" w:line="264" w:lineRule="auto"/>
        <w:jc w:val="left"/>
      </w:pPr>
      <w:r>
        <w:rPr>
          <w:rFonts w:ascii="Aptos" w:hAnsi="Aptos"/>
          <w:b/>
          <w:i w:val="0"/>
          <w:color w:val="10233F"/>
          <w:sz w:val="32"/>
        </w:rPr>
        <w:t>9. Nonfunctional Requirements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016"/>
            <w:shd w:fill="10233F"/>
            <w:tcMar>
              <w:top w:w="100" w:type="dxa"/>
              <w:start w:w="120" w:type="dxa"/>
              <w:bottom w:w="100" w:type="dxa"/>
              <w:end w:w="120" w:type="dxa"/>
            </w:tcMar>
            <w:vAlign w:val="center"/>
          </w:tcPr>
          <w:p>
            <w:pPr>
              <w:keepLines/>
              <w:spacing w:after="0"/>
            </w:pPr>
            <w:r>
              <w:rPr>
                <w:rFonts w:ascii="Aptos" w:hAnsi="Aptos"/>
                <w:b/>
                <w:i w:val="0"/>
                <w:color w:val="FFFFFF"/>
                <w:sz w:val="18"/>
              </w:rPr>
              <w:t>Area</w:t>
            </w:r>
          </w:p>
        </w:tc>
        <w:tc>
          <w:tcPr>
            <w:tcW w:type="dxa" w:w="7344"/>
            <w:shd w:fill="10233F"/>
            <w:tcMar>
              <w:top w:w="100" w:type="dxa"/>
              <w:start w:w="120" w:type="dxa"/>
              <w:bottom w:w="100" w:type="dxa"/>
              <w:end w:w="120" w:type="dxa"/>
            </w:tcMar>
            <w:vAlign w:val="center"/>
          </w:tcPr>
          <w:p>
            <w:pPr>
              <w:keepLines/>
              <w:spacing w:after="0"/>
            </w:pPr>
            <w:r>
              <w:rPr>
                <w:rFonts w:ascii="Aptos" w:hAnsi="Aptos"/>
                <w:b/>
                <w:i w:val="0"/>
                <w:color w:val="FFFFFF"/>
                <w:sz w:val="18"/>
              </w:rPr>
              <w:t>Requirement</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Explainability</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Every restriction returns drivers, policy flags, and intermediate economic calculations</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Reproducibility</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Fixed seeds, versioned configuration, deterministic sample runs, locked dependencies</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Reliability</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Input validation, bounded batches, graceful failures, health endpoint, automated tests</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Security</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No secrets in source; environment variables; minimal data retention; dependency and input checks</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Performance</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Set measurable local targets for single and bounded-batch requests; report observed results</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Accessibility</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Keyboard navigation, semantic HTML, visible focus, contrast, reduced-motion support</w:t>
            </w:r>
          </w:p>
        </w:tc>
      </w:tr>
      <w:tr>
        <w:trPr>
          <w:cantSplit/>
        </w:trPr>
        <w:tc>
          <w:tcPr>
            <w:tcW w:type="dxa" w:w="201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Governance</w:t>
            </w:r>
          </w:p>
        </w:tc>
        <w:tc>
          <w:tcPr>
            <w:tcW w:type="dxa" w:w="734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Model/policy versions, change log, decision log, validation status, limitations</w:t>
            </w:r>
          </w:p>
        </w:tc>
      </w:tr>
    </w:tbl>
    <w:p>
      <w:pPr>
        <w:spacing w:after="0"/>
      </w:pPr>
    </w:p>
    <w:p>
      <w:pPr>
        <w:keepNext/>
        <w:spacing w:before="280" w:after="140" w:line="264" w:lineRule="auto"/>
        <w:jc w:val="left"/>
      </w:pPr>
      <w:r>
        <w:rPr>
          <w:rFonts w:ascii="Aptos" w:hAnsi="Aptos"/>
          <w:b/>
          <w:i w:val="0"/>
          <w:color w:val="10233F"/>
          <w:sz w:val="32"/>
        </w:rPr>
        <w:t>10. Visual and Interaction Design Principles</w:t>
      </w:r>
    </w:p>
    <w:p>
      <w:pPr>
        <w:keepNext w:val="0"/>
        <w:spacing w:before="0" w:after="120" w:line="264" w:lineRule="auto"/>
        <w:jc w:val="left"/>
      </w:pPr>
      <w:r>
        <w:rPr>
          <w:rFonts w:ascii="Aptos" w:hAnsi="Aptos"/>
          <w:b w:val="0"/>
          <w:i w:val="0"/>
          <w:color w:val="1D2939"/>
          <w:sz w:val="22"/>
        </w:rPr>
        <w:t>The interface should feel like an editorial research laboratory: approximately 80% institutional clarity and 20% controlled visual distinction. It must remain credible to risk leaders and recruiters while being memorable enough to differentiate the portfolio.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0233F"/>
            <w:tcMar>
              <w:top w:w="100" w:type="dxa"/>
              <w:start w:w="120" w:type="dxa"/>
              <w:bottom w:w="100" w:type="dxa"/>
              <w:end w:w="120" w:type="dxa"/>
            </w:tcMar>
            <w:vAlign w:val="center"/>
          </w:tcPr>
          <w:p>
            <w:pPr>
              <w:keepLines/>
              <w:spacing w:after="0"/>
            </w:pPr>
            <w:r>
              <w:rPr>
                <w:rFonts w:ascii="Aptos" w:hAnsi="Aptos"/>
                <w:b/>
                <w:i w:val="0"/>
                <w:color w:val="FFFFFF"/>
                <w:sz w:val="18"/>
              </w:rPr>
              <w:t>Principle</w:t>
            </w:r>
          </w:p>
        </w:tc>
        <w:tc>
          <w:tcPr>
            <w:tcW w:type="dxa" w:w="7128"/>
            <w:shd w:fill="10233F"/>
            <w:tcMar>
              <w:top w:w="100" w:type="dxa"/>
              <w:start w:w="120" w:type="dxa"/>
              <w:bottom w:w="100" w:type="dxa"/>
              <w:end w:w="120" w:type="dxa"/>
            </w:tcMar>
            <w:vAlign w:val="center"/>
          </w:tcPr>
          <w:p>
            <w:pPr>
              <w:keepLines/>
              <w:spacing w:after="0"/>
            </w:pPr>
            <w:r>
              <w:rPr>
                <w:rFonts w:ascii="Aptos" w:hAnsi="Aptos"/>
                <w:b/>
                <w:i w:val="0"/>
                <w:color w:val="FFFFFF"/>
                <w:sz w:val="18"/>
              </w:rPr>
              <w:t>Application</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Editorial hierarchy</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Large but restrained headings, strong spacing, numbered systems, concise evidence blocks</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Professional palette</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Warm off-white background, charcoal/dark navy text, muted burgundy or coral accent</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Typography</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Editorial serif for major display headings; precise sans-serif for body; mono only for data and metadata</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Structured density</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Readable research cards, thin rules, compact tables, clear progressive disclosure</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Meaningful motion</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Subtle transitions and diagram states; honor reduced-motion preferences</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No visual gimmicks</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No scroll hijacking, custom cursors, cryptic navigation, constant animation, or collage layouts</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Responsive and accessible</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Mobile-first behavior, clear focus states, semantic labels, high contrast, keyboard operation</w:t>
            </w:r>
          </w:p>
        </w:tc>
      </w:tr>
      <w:tr>
        <w:trPr>
          <w:cantSplit/>
        </w:trPr>
        <w:tc>
          <w:tcPr>
            <w:tcW w:type="dxa" w:w="223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Decision storytelling</w:t>
            </w:r>
          </w:p>
        </w:tc>
        <w:tc>
          <w:tcPr>
            <w:tcW w:type="dxa" w:w="712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Show the recommendation first, then economics, drivers, sensitivity, and methodology</w:t>
            </w:r>
          </w:p>
        </w:tc>
      </w:tr>
    </w:tbl>
    <w:p>
      <w:pPr>
        <w:spacing w:after="0"/>
      </w:pPr>
    </w:p>
    <w:p>
      <w:pPr>
        <w:keepNext/>
        <w:spacing w:before="280" w:after="140" w:line="264" w:lineRule="auto"/>
        <w:jc w:val="left"/>
      </w:pPr>
      <w:r>
        <w:rPr>
          <w:rFonts w:ascii="Aptos" w:hAnsi="Aptos"/>
          <w:b/>
          <w:i w:val="0"/>
          <w:color w:val="10233F"/>
          <w:sz w:val="32"/>
        </w:rPr>
        <w:t>11. Corporate Documentation and Agile Delivery</w:t>
      </w:r>
    </w:p>
    <w:p>
      <w:pPr>
        <w:keepNext w:val="0"/>
        <w:spacing w:before="0" w:after="120" w:line="264" w:lineRule="auto"/>
        <w:jc w:val="left"/>
      </w:pPr>
      <w:r>
        <w:rPr>
          <w:rFonts w:ascii="Aptos" w:hAnsi="Aptos"/>
          <w:b w:val="0"/>
          <w:i w:val="0"/>
          <w:color w:val="1D2939"/>
          <w:sz w:val="22"/>
        </w:rPr>
        <w:t>Documentation is a product deliverable, not an afterthought. Every artifact should be concise, versioned, linked from the repository, and written so a reviewer can understand the decision history without access to prior conversations.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520"/>
            <w:shd w:fill="10233F"/>
            <w:tcMar>
              <w:top w:w="100" w:type="dxa"/>
              <w:start w:w="120" w:type="dxa"/>
              <w:bottom w:w="100" w:type="dxa"/>
              <w:end w:w="120" w:type="dxa"/>
            </w:tcMar>
            <w:vAlign w:val="center"/>
          </w:tcPr>
          <w:p>
            <w:pPr>
              <w:keepLines/>
              <w:spacing w:after="0"/>
            </w:pPr>
            <w:r>
              <w:rPr>
                <w:rFonts w:ascii="Aptos" w:hAnsi="Aptos"/>
                <w:b/>
                <w:i w:val="0"/>
                <w:color w:val="FFFFFF"/>
                <w:sz w:val="18"/>
              </w:rPr>
              <w:t>Artifact</w:t>
            </w:r>
          </w:p>
        </w:tc>
        <w:tc>
          <w:tcPr>
            <w:tcW w:type="dxa" w:w="6840"/>
            <w:shd w:fill="10233F"/>
            <w:tcMar>
              <w:top w:w="100" w:type="dxa"/>
              <w:start w:w="120" w:type="dxa"/>
              <w:bottom w:w="100" w:type="dxa"/>
              <w:end w:w="120" w:type="dxa"/>
            </w:tcMar>
            <w:vAlign w:val="center"/>
          </w:tcPr>
          <w:p>
            <w:pPr>
              <w:keepLines/>
              <w:spacing w:after="0"/>
            </w:pPr>
            <w:r>
              <w:rPr>
                <w:rFonts w:ascii="Aptos" w:hAnsi="Aptos"/>
                <w:b/>
                <w:i w:val="0"/>
                <w:color w:val="FFFFFF"/>
                <w:sz w:val="18"/>
              </w:rPr>
              <w:t>Required content</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PRD</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Problem, users, goals, non-goals, requirements, metrics, risks, acceptance criteria</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Architecture overview</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Components, boundaries, data flow, deployment model, trust boundaries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ADRs</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Important choices, alternatives, consequences, and status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Data dictionary</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Definitions, types, allowed ranges, provenance, timing, leakage classification</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Model card</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Purpose, inputs, outputs, performance, limitations, human oversight, version</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Validation report</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Holdout design, metrics, sensitivity, stability, errors, limitations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API specification</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Endpoints, schemas, examples, errors, versioning, authentication assumptions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Backlog and sprint plan</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Epics, user stories, acceptance criteria, dependencies, priorities, status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Test strategy</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Unit, integration, contract, end-to-end, accessibility, performance, security checks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Risk register</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Product, model, data, delivery, deployment, and reputational risks with mitigations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Runbook</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Local setup, configuration, deployment, health checks, rollback, known failures</w:t>
            </w:r>
          </w:p>
        </w:tc>
      </w:tr>
      <w:tr>
        <w:trPr>
          <w:cantSplit/>
        </w:trPr>
        <w:tc>
          <w:tcPr>
            <w:tcW w:type="dxa" w:w="252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Changelog/release notes</w:t>
            </w:r>
          </w:p>
        </w:tc>
        <w:tc>
          <w:tcPr>
            <w:tcW w:type="dxa" w:w="684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Material behavior, schema, policy, and documentation changes</w:t>
            </w:r>
          </w:p>
        </w:tc>
      </w:tr>
    </w:tbl>
    <w:p>
      <w:pPr>
        <w:spacing w:after="0"/>
      </w:pPr>
    </w:p>
    <w:p>
      <w:pPr>
        <w:keepNext/>
        <w:spacing w:before="200" w:after="100" w:line="264" w:lineRule="auto"/>
        <w:jc w:val="left"/>
      </w:pPr>
      <w:r>
        <w:rPr>
          <w:rFonts w:ascii="Aptos" w:hAnsi="Aptos"/>
          <w:b/>
          <w:i w:val="0"/>
          <w:color w:val="7A3045"/>
          <w:sz w:val="25"/>
        </w:rPr>
        <w:t>Working conventions</w:t>
      </w:r>
    </w:p>
    <w:p>
      <w:pPr>
        <w:pStyle w:val="ListBullet"/>
        <w:spacing w:after="80" w:line="264" w:lineRule="auto"/>
      </w:pPr>
      <w:r>
        <w:rPr>
          <w:rFonts w:ascii="Aptos" w:hAnsi="Aptos"/>
          <w:b w:val="0"/>
          <w:i w:val="0"/>
          <w:color w:val="1D2939"/>
          <w:sz w:val="21"/>
        </w:rPr>
        <w:t>Organize work into epics and small user stories with testable acceptance criteria.</w:t>
      </w:r>
    </w:p>
    <w:p>
      <w:pPr>
        <w:pStyle w:val="ListBullet"/>
        <w:spacing w:after="80" w:line="264" w:lineRule="auto"/>
      </w:pPr>
      <w:r>
        <w:rPr>
          <w:rFonts w:ascii="Aptos" w:hAnsi="Aptos"/>
          <w:b w:val="0"/>
          <w:i w:val="0"/>
          <w:color w:val="1D2939"/>
          <w:sz w:val="21"/>
        </w:rPr>
        <w:t>Maintain a prioritized backlog and a two-week sprint cadence or clearly documented equivalent.</w:t>
      </w:r>
    </w:p>
    <w:p>
      <w:pPr>
        <w:pStyle w:val="ListBullet"/>
        <w:spacing w:after="80" w:line="264" w:lineRule="auto"/>
      </w:pPr>
      <w:r>
        <w:rPr>
          <w:rFonts w:ascii="Aptos" w:hAnsi="Aptos"/>
          <w:b w:val="0"/>
          <w:i w:val="0"/>
          <w:color w:val="1D2939"/>
          <w:sz w:val="21"/>
        </w:rPr>
        <w:t>Use pull-request-sized changes, conventional commit messages, and a definition of done.</w:t>
      </w:r>
    </w:p>
    <w:p>
      <w:pPr>
        <w:pStyle w:val="ListBullet"/>
        <w:spacing w:after="80" w:line="264" w:lineRule="auto"/>
      </w:pPr>
      <w:r>
        <w:rPr>
          <w:rFonts w:ascii="Aptos" w:hAnsi="Aptos"/>
          <w:b w:val="0"/>
          <w:i w:val="0"/>
          <w:color w:val="1D2939"/>
          <w:sz w:val="21"/>
        </w:rPr>
        <w:t>Record significant product, architecture, model, and policy decisions in ADRs or a decision log.</w:t>
      </w:r>
    </w:p>
    <w:p>
      <w:pPr>
        <w:pStyle w:val="ListBullet"/>
        <w:spacing w:after="80" w:line="264" w:lineRule="auto"/>
      </w:pPr>
      <w:r>
        <w:rPr>
          <w:rFonts w:ascii="Aptos" w:hAnsi="Aptos"/>
          <w:b w:val="0"/>
          <w:i w:val="0"/>
          <w:color w:val="1D2939"/>
          <w:sz w:val="21"/>
        </w:rPr>
        <w:t>Update documentation and tests in the same change as behavior; no undocumented implementation drift.</w:t>
      </w:r>
    </w:p>
    <w:p>
      <w:pPr>
        <w:keepNext/>
        <w:spacing w:before="280" w:after="140" w:line="264" w:lineRule="auto"/>
        <w:jc w:val="left"/>
      </w:pPr>
      <w:r>
        <w:rPr>
          <w:rFonts w:ascii="Aptos" w:hAnsi="Aptos"/>
          <w:b/>
          <w:i w:val="0"/>
          <w:color w:val="10233F"/>
          <w:sz w:val="32"/>
        </w:rPr>
        <w:t>12. Validation and Governance Plan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shd w:fill="10233F"/>
            <w:tcMar>
              <w:top w:w="100" w:type="dxa"/>
              <w:start w:w="120" w:type="dxa"/>
              <w:bottom w:w="100" w:type="dxa"/>
              <w:end w:w="120" w:type="dxa"/>
            </w:tcMar>
            <w:vAlign w:val="center"/>
          </w:tcPr>
          <w:p>
            <w:pPr>
              <w:keepLines/>
              <w:spacing w:after="0"/>
            </w:pPr>
            <w:r>
              <w:rPr>
                <w:rFonts w:ascii="Aptos" w:hAnsi="Aptos"/>
                <w:b/>
                <w:i w:val="0"/>
                <w:color w:val="FFFFFF"/>
                <w:sz w:val="18"/>
              </w:rPr>
              <w:t>Stage</w:t>
            </w:r>
          </w:p>
        </w:tc>
        <w:tc>
          <w:tcPr>
            <w:tcW w:type="dxa" w:w="7056"/>
            <w:shd w:fill="10233F"/>
            <w:tcMar>
              <w:top w:w="100" w:type="dxa"/>
              <w:start w:w="120" w:type="dxa"/>
              <w:bottom w:w="100" w:type="dxa"/>
              <w:end w:w="120" w:type="dxa"/>
            </w:tcMar>
            <w:vAlign w:val="center"/>
          </w:tcPr>
          <w:p>
            <w:pPr>
              <w:keepLines/>
              <w:spacing w:after="0"/>
            </w:pPr>
            <w:r>
              <w:rPr>
                <w:rFonts w:ascii="Aptos" w:hAnsi="Aptos"/>
                <w:b/>
                <w:i w:val="0"/>
                <w:color w:val="FFFFFF"/>
                <w:sz w:val="18"/>
              </w:rPr>
              <w:t>Evidence required</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Data QA</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Schema checks, ranges, missingness, temporal integrity, leakage review, synthetic assumptions</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Baseline validation</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Out-of-time discrimination, calibration, Brier score, score-band bad/loss rates</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Policy backtest</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Approval, loss, reserve coverage, review rate, risk-adjusted contribution</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Sensitivity</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Threshold, PD, LGD, exposure days, reserve floor/cap, cost and revenue assumptions</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Stability</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Feature/score drift, segment performance, temporal behavior, label delay</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Champion/challenger</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Compare transparent baseline with a challenger only after baseline evidence is complete</w:t>
            </w:r>
          </w:p>
        </w:tc>
      </w:tr>
      <w:tr>
        <w:trPr>
          <w:cantSplit/>
        </w:trPr>
        <w:tc>
          <w:tcPr>
            <w:tcW w:type="dxa" w:w="2304"/>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Governance</w:t>
            </w:r>
          </w:p>
        </w:tc>
        <w:tc>
          <w:tcPr>
            <w:tcW w:type="dxa" w:w="7056"/>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Versioning, limitations, monitoring triggers, override process, change approval</w:t>
            </w:r>
          </w:p>
        </w:tc>
      </w:tr>
    </w:tbl>
    <w:p>
      <w:pPr>
        <w:spacing w:after="0"/>
      </w:pPr>
    </w:p>
    <w:p>
      <w:pPr>
        <w:keepNext w:val="0"/>
        <w:spacing w:before="0" w:after="120" w:line="264" w:lineRule="auto"/>
        <w:jc w:val="left"/>
      </w:pPr>
      <w:r>
        <w:rPr>
          <w:rFonts w:ascii="Aptos" w:hAnsi="Aptos"/>
          <w:b w:val="0"/>
          <w:i/>
          <w:color w:val="667085"/>
          <w:sz w:val="22"/>
        </w:rPr>
        <w:t>Protected-class fairness claims are out of scope because the public synthetic dataset will not include personal demographic attributes. The project should instead document proxy-risk considerations and avoid unsupported fairness conclusions.</w:t>
      </w:r>
    </w:p>
    <w:p>
      <w:pPr>
        <w:keepNext/>
        <w:spacing w:before="280" w:after="140" w:line="264" w:lineRule="auto"/>
        <w:jc w:val="left"/>
      </w:pPr>
      <w:r>
        <w:rPr>
          <w:rFonts w:ascii="Aptos" w:hAnsi="Aptos"/>
          <w:b/>
          <w:i w:val="0"/>
          <w:color w:val="10233F"/>
          <w:sz w:val="32"/>
        </w:rPr>
        <w:t>13. Delivery Roadmap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10233F"/>
            <w:tcMar>
              <w:top w:w="100" w:type="dxa"/>
              <w:start w:w="120" w:type="dxa"/>
              <w:bottom w:w="100" w:type="dxa"/>
              <w:end w:w="120" w:type="dxa"/>
            </w:tcMar>
            <w:vAlign w:val="center"/>
          </w:tcPr>
          <w:p>
            <w:pPr>
              <w:keepLines/>
              <w:spacing w:after="0"/>
            </w:pPr>
            <w:r>
              <w:rPr>
                <w:rFonts w:ascii="Aptos" w:hAnsi="Aptos"/>
                <w:b/>
                <w:i w:val="0"/>
                <w:color w:val="FFFFFF"/>
                <w:sz w:val="18"/>
              </w:rPr>
              <w:t>Phase</w:t>
            </w:r>
          </w:p>
        </w:tc>
        <w:tc>
          <w:tcPr>
            <w:tcW w:type="dxa" w:w="3672"/>
            <w:shd w:fill="10233F"/>
            <w:tcMar>
              <w:top w:w="100" w:type="dxa"/>
              <w:start w:w="120" w:type="dxa"/>
              <w:bottom w:w="100" w:type="dxa"/>
              <w:end w:w="120" w:type="dxa"/>
            </w:tcMar>
            <w:vAlign w:val="center"/>
          </w:tcPr>
          <w:p>
            <w:pPr>
              <w:keepLines/>
              <w:spacing w:after="0"/>
            </w:pPr>
            <w:r>
              <w:rPr>
                <w:rFonts w:ascii="Aptos" w:hAnsi="Aptos"/>
                <w:b/>
                <w:i w:val="0"/>
                <w:color w:val="FFFFFF"/>
                <w:sz w:val="18"/>
              </w:rPr>
              <w:t>Outcome</w:t>
            </w:r>
          </w:p>
        </w:tc>
        <w:tc>
          <w:tcPr>
            <w:tcW w:type="dxa" w:w="3888"/>
            <w:shd w:fill="10233F"/>
            <w:tcMar>
              <w:top w:w="100" w:type="dxa"/>
              <w:start w:w="120" w:type="dxa"/>
              <w:bottom w:w="100" w:type="dxa"/>
              <w:end w:w="120" w:type="dxa"/>
            </w:tcMar>
            <w:vAlign w:val="center"/>
          </w:tcPr>
          <w:p>
            <w:pPr>
              <w:keepLines/>
              <w:spacing w:after="0"/>
            </w:pPr>
            <w:r>
              <w:rPr>
                <w:rFonts w:ascii="Aptos" w:hAnsi="Aptos"/>
                <w:b/>
                <w:i w:val="0"/>
                <w:color w:val="FFFFFF"/>
                <w:sz w:val="18"/>
              </w:rPr>
              <w:t>Exit criteria</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0. Foundation</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PRD, architecture, ADRs, repository, CI, API skeleton, synthetic-data specification</w:t>
            </w:r>
          </w:p>
        </w:tc>
        <w:tc>
          <w:tcPr>
            <w:tcW w:type="dxa" w:w="388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Docs reviewed; health endpoint and tests run locally</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1. Baseline engine</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Scorecard, PD/EAD/EL, reserve policy, reason codes, sample decisions</w:t>
            </w:r>
          </w:p>
        </w:tc>
        <w:tc>
          <w:tcPr>
            <w:tcW w:type="dxa" w:w="388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Every decision traceable; boundary tests pass</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2. Validation</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Synthetic vintages, outcomes, out-of-time evaluation, sensitivity report</w:t>
            </w:r>
          </w:p>
        </w:tc>
        <w:tc>
          <w:tcPr>
            <w:tcW w:type="dxa" w:w="388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Metrics reproducible; limitations documented</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3. Policy simulator</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Approval/loss/revenue frontier and recommended policy</w:t>
            </w:r>
          </w:p>
        </w:tc>
        <w:tc>
          <w:tcPr>
            <w:tcW w:type="dxa" w:w="388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Recommendation supported by commercial trade-offs</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4. Portfolio interface</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Responsive API-backed demo, methodology, documentation, screenshots</w:t>
            </w:r>
          </w:p>
        </w:tc>
        <w:tc>
          <w:tcPr>
            <w:tcW w:type="dxa" w:w="388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Remote deployment passes usability and accessibility checks</w:t>
            </w:r>
          </w:p>
        </w:tc>
      </w:tr>
      <w:tr>
        <w:trPr>
          <w:cantSplit/>
        </w:trPr>
        <w:tc>
          <w:tcPr>
            <w:tcW w:type="dxa" w:w="180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5. Publication</w:t>
            </w:r>
          </w:p>
        </w:tc>
        <w:tc>
          <w:tcPr>
            <w:tcW w:type="dxa" w:w="3672"/>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Risk memo, case study, video, release notes, portfolio integration</w:t>
            </w:r>
          </w:p>
        </w:tc>
        <w:tc>
          <w:tcPr>
            <w:tcW w:type="dxa" w:w="3888"/>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Recruiter can understand the work in under three minutes</w:t>
            </w:r>
          </w:p>
        </w:tc>
      </w:tr>
    </w:tbl>
    <w:p>
      <w:pPr>
        <w:spacing w:after="0"/>
      </w:pPr>
    </w:p>
    <w:p>
      <w:r>
        <w:br w:type="page"/>
      </w:r>
    </w:p>
    <w:p>
      <w:pPr>
        <w:keepNext/>
        <w:spacing w:before="280" w:after="140" w:line="264" w:lineRule="auto"/>
        <w:jc w:val="left"/>
      </w:pPr>
      <w:r>
        <w:rPr>
          <w:rFonts w:ascii="Aptos" w:hAnsi="Aptos"/>
          <w:b/>
          <w:i w:val="0"/>
          <w:color w:val="10233F"/>
          <w:sz w:val="32"/>
        </w:rPr>
        <w:t>14. MVP Acceptance Criteria</w:t>
      </w:r>
    </w:p>
    <w:p>
      <w:pPr>
        <w:pStyle w:val="ListBullet"/>
        <w:spacing w:after="80" w:line="264" w:lineRule="auto"/>
      </w:pPr>
      <w:r>
        <w:rPr>
          <w:rFonts w:ascii="Aptos" w:hAnsi="Aptos"/>
          <w:b w:val="0"/>
          <w:i w:val="0"/>
          <w:color w:val="1D2939"/>
          <w:sz w:val="21"/>
        </w:rPr>
        <w:t>A reviewer can reproduce every decision and reserve from the input, policy, and model version.</w:t>
      </w:r>
    </w:p>
    <w:p>
      <w:pPr>
        <w:pStyle w:val="ListBullet"/>
        <w:spacing w:after="80" w:line="264" w:lineRule="auto"/>
      </w:pPr>
      <w:r>
        <w:rPr>
          <w:rFonts w:ascii="Aptos" w:hAnsi="Aptos"/>
          <w:b w:val="0"/>
          <w:i w:val="0"/>
          <w:color w:val="1D2939"/>
          <w:sz w:val="21"/>
        </w:rPr>
        <w:t>The API validates inputs, returns stable versioned schemas, and documents errors and examples.</w:t>
      </w:r>
    </w:p>
    <w:p>
      <w:pPr>
        <w:pStyle w:val="ListBullet"/>
        <w:spacing w:after="80" w:line="264" w:lineRule="auto"/>
      </w:pPr>
      <w:r>
        <w:rPr>
          <w:rFonts w:ascii="Aptos" w:hAnsi="Aptos"/>
          <w:b w:val="0"/>
          <w:i w:val="0"/>
          <w:color w:val="1D2939"/>
          <w:sz w:val="21"/>
        </w:rPr>
        <w:t>The engine never uses future outcome information as a decision input.</w:t>
      </w:r>
    </w:p>
    <w:p>
      <w:pPr>
        <w:pStyle w:val="ListBullet"/>
        <w:spacing w:after="80" w:line="264" w:lineRule="auto"/>
      </w:pPr>
      <w:r>
        <w:rPr>
          <w:rFonts w:ascii="Aptos" w:hAnsi="Aptos"/>
          <w:b w:val="0"/>
          <w:i w:val="0"/>
          <w:color w:val="1D2939"/>
          <w:sz w:val="21"/>
        </w:rPr>
        <w:t>All public examples use synthetic data and state that limitation prominently.</w:t>
      </w:r>
    </w:p>
    <w:p>
      <w:pPr>
        <w:pStyle w:val="ListBullet"/>
        <w:spacing w:after="80" w:line="264" w:lineRule="auto"/>
      </w:pPr>
      <w:r>
        <w:rPr>
          <w:rFonts w:ascii="Aptos" w:hAnsi="Aptos"/>
          <w:b w:val="0"/>
          <w:i w:val="0"/>
          <w:color w:val="1D2939"/>
          <w:sz w:val="21"/>
        </w:rPr>
        <w:t>Out-of-time validation and policy sensitivity are reproducible from repository commands.</w:t>
      </w:r>
    </w:p>
    <w:p>
      <w:pPr>
        <w:pStyle w:val="ListBullet"/>
        <w:spacing w:after="80" w:line="264" w:lineRule="auto"/>
      </w:pPr>
      <w:r>
        <w:rPr>
          <w:rFonts w:ascii="Aptos" w:hAnsi="Aptos"/>
          <w:b w:val="0"/>
          <w:i w:val="0"/>
          <w:color w:val="1D2939"/>
          <w:sz w:val="21"/>
        </w:rPr>
        <w:t>The frontend works remotely against an environment-configured API and includes a static fallback.</w:t>
      </w:r>
    </w:p>
    <w:p>
      <w:pPr>
        <w:pStyle w:val="ListBullet"/>
        <w:spacing w:after="80" w:line="264" w:lineRule="auto"/>
      </w:pPr>
      <w:r>
        <w:rPr>
          <w:rFonts w:ascii="Aptos" w:hAnsi="Aptos"/>
          <w:b w:val="0"/>
          <w:i w:val="0"/>
          <w:color w:val="1D2939"/>
          <w:sz w:val="21"/>
        </w:rPr>
        <w:t>Core flows pass unit, integration, contract, end-to-end, and accessibility checks.</w:t>
      </w:r>
    </w:p>
    <w:p>
      <w:pPr>
        <w:pStyle w:val="ListBullet"/>
        <w:spacing w:after="80" w:line="264" w:lineRule="auto"/>
      </w:pPr>
      <w:r>
        <w:rPr>
          <w:rFonts w:ascii="Aptos" w:hAnsi="Aptos"/>
          <w:b w:val="0"/>
          <w:i w:val="0"/>
          <w:color w:val="1D2939"/>
          <w:sz w:val="21"/>
        </w:rPr>
        <w:t>PRD, ADRs, model card, validation report, API documentation, runbook, and risk register are current.</w:t>
      </w:r>
    </w:p>
    <w:p>
      <w:pPr>
        <w:pStyle w:val="ListBullet"/>
        <w:spacing w:after="80" w:line="264" w:lineRule="auto"/>
      </w:pPr>
      <w:r>
        <w:rPr>
          <w:rFonts w:ascii="Aptos" w:hAnsi="Aptos"/>
          <w:b w:val="0"/>
          <w:i w:val="0"/>
          <w:color w:val="1D2939"/>
          <w:sz w:val="21"/>
        </w:rPr>
        <w:t>The portfolio case study explains the problem, decision, methodology, findings, trade-offs, limitations, and personal contribution.</w:t>
      </w:r>
    </w:p>
    <w:p>
      <w:pPr>
        <w:keepNext/>
        <w:spacing w:before="280" w:after="140" w:line="264" w:lineRule="auto"/>
        <w:jc w:val="left"/>
      </w:pPr>
      <w:r>
        <w:rPr>
          <w:rFonts w:ascii="Aptos" w:hAnsi="Aptos"/>
          <w:b/>
          <w:i w:val="0"/>
          <w:color w:val="10233F"/>
          <w:sz w:val="32"/>
        </w:rPr>
        <w:t>15. Assumptions and Limitations</w:t>
      </w:r>
    </w:p>
    <w:p>
      <w:pPr>
        <w:pStyle w:val="ListBullet"/>
        <w:spacing w:after="80" w:line="264" w:lineRule="auto"/>
      </w:pPr>
      <w:r>
        <w:rPr>
          <w:rFonts w:ascii="Aptos" w:hAnsi="Aptos"/>
          <w:b w:val="0"/>
          <w:i w:val="0"/>
          <w:color w:val="1D2939"/>
          <w:sz w:val="21"/>
        </w:rPr>
        <w:t>Digital-product businesses have distinct risk characteristics, but category-level assumptions must be validated rather than treated as universal facts.</w:t>
      </w:r>
    </w:p>
    <w:p>
      <w:pPr>
        <w:pStyle w:val="ListBullet"/>
        <w:spacing w:after="80" w:line="264" w:lineRule="auto"/>
      </w:pPr>
      <w:r>
        <w:rPr>
          <w:rFonts w:ascii="Aptos" w:hAnsi="Aptos"/>
          <w:b w:val="0"/>
          <w:i w:val="0"/>
          <w:color w:val="1D2939"/>
          <w:sz w:val="21"/>
        </w:rPr>
        <w:t>Historical fraud and chargeback labels may be delayed, incomplete, or affected by changing dispute behavior.</w:t>
      </w:r>
    </w:p>
    <w:p>
      <w:pPr>
        <w:pStyle w:val="ListBullet"/>
        <w:spacing w:after="80" w:line="264" w:lineRule="auto"/>
      </w:pPr>
      <w:r>
        <w:rPr>
          <w:rFonts w:ascii="Aptos" w:hAnsi="Aptos"/>
          <w:b w:val="0"/>
          <w:i w:val="0"/>
          <w:color w:val="1D2939"/>
          <w:sz w:val="21"/>
        </w:rPr>
        <w:t>Emerging categories may have thin histories and unstable relationships between signals and outcomes.</w:t>
      </w:r>
    </w:p>
    <w:p>
      <w:pPr>
        <w:pStyle w:val="ListBullet"/>
        <w:spacing w:after="80" w:line="264" w:lineRule="auto"/>
      </w:pPr>
      <w:r>
        <w:rPr>
          <w:rFonts w:ascii="Aptos" w:hAnsi="Aptos"/>
          <w:b w:val="0"/>
          <w:i w:val="0"/>
          <w:color w:val="1D2939"/>
          <w:sz w:val="21"/>
        </w:rPr>
        <w:t>Synthetic data supports reproducibility and privacy but cannot establish real-world predictive effectiveness.</w:t>
      </w:r>
    </w:p>
    <w:p>
      <w:pPr>
        <w:pStyle w:val="ListBullet"/>
        <w:spacing w:after="80" w:line="264" w:lineRule="auto"/>
      </w:pPr>
      <w:r>
        <w:rPr>
          <w:rFonts w:ascii="Aptos" w:hAnsi="Aptos"/>
          <w:b w:val="0"/>
          <w:i w:val="0"/>
          <w:color w:val="1D2939"/>
          <w:sz w:val="21"/>
        </w:rPr>
        <w:t>Conversion, fraud, reserve, and customer-experience objectives create genuine trade-offs; no single threshold dominates every objective.</w:t>
      </w:r>
    </w:p>
    <w:p>
      <w:pPr>
        <w:pStyle w:val="ListBullet"/>
        <w:spacing w:after="80" w:line="264" w:lineRule="auto"/>
      </w:pPr>
      <w:r>
        <w:rPr>
          <w:rFonts w:ascii="Aptos" w:hAnsi="Aptos"/>
          <w:b w:val="0"/>
          <w:i w:val="0"/>
          <w:color w:val="1D2939"/>
          <w:sz w:val="21"/>
        </w:rPr>
        <w:t>External regulations, processor policies, geopolitical restrictions, and consumer behavior may change independently of internal models.</w:t>
      </w:r>
    </w:p>
    <w:p>
      <w:pPr>
        <w:pStyle w:val="ListBullet"/>
        <w:spacing w:after="80" w:line="264" w:lineRule="auto"/>
      </w:pPr>
      <w:r>
        <w:rPr>
          <w:rFonts w:ascii="Aptos" w:hAnsi="Aptos"/>
          <w:b w:val="0"/>
          <w:i w:val="0"/>
          <w:color w:val="1D2939"/>
          <w:sz w:val="21"/>
        </w:rPr>
        <w:t>The MVP addresses merchant credit, payment fraud exposure, and reserve strategy; AML, content piracy, platform abuse, and formal regulatory compliance require separate treatment.</w:t>
      </w:r>
    </w:p>
    <w:p>
      <w:pPr>
        <w:keepNext/>
        <w:spacing w:before="280" w:after="140" w:line="264" w:lineRule="auto"/>
        <w:jc w:val="left"/>
      </w:pPr>
      <w:r>
        <w:rPr>
          <w:rFonts w:ascii="Aptos" w:hAnsi="Aptos"/>
          <w:b/>
          <w:i w:val="0"/>
          <w:color w:val="10233F"/>
          <w:sz w:val="32"/>
        </w:rPr>
        <w:t>16. Portfolio Publication Package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880"/>
            <w:shd w:fill="10233F"/>
            <w:tcMar>
              <w:top w:w="100" w:type="dxa"/>
              <w:start w:w="120" w:type="dxa"/>
              <w:bottom w:w="100" w:type="dxa"/>
              <w:end w:w="120" w:type="dxa"/>
            </w:tcMar>
            <w:vAlign w:val="center"/>
          </w:tcPr>
          <w:p>
            <w:pPr>
              <w:keepLines/>
              <w:spacing w:after="0"/>
            </w:pPr>
            <w:r>
              <w:rPr>
                <w:rFonts w:ascii="Aptos" w:hAnsi="Aptos"/>
                <w:b/>
                <w:i w:val="0"/>
                <w:color w:val="FFFFFF"/>
                <w:sz w:val="18"/>
              </w:rPr>
              <w:t>Artifact</w:t>
            </w:r>
          </w:p>
        </w:tc>
        <w:tc>
          <w:tcPr>
            <w:tcW w:type="dxa" w:w="6480"/>
            <w:shd w:fill="10233F"/>
            <w:tcMar>
              <w:top w:w="100" w:type="dxa"/>
              <w:start w:w="120" w:type="dxa"/>
              <w:bottom w:w="100" w:type="dxa"/>
              <w:end w:w="120" w:type="dxa"/>
            </w:tcMar>
            <w:vAlign w:val="center"/>
          </w:tcPr>
          <w:p>
            <w:pPr>
              <w:keepLines/>
              <w:spacing w:after="0"/>
            </w:pPr>
            <w:r>
              <w:rPr>
                <w:rFonts w:ascii="Aptos" w:hAnsi="Aptos"/>
                <w:b/>
                <w:i w:val="0"/>
                <w:color w:val="FFFFFF"/>
                <w:sz w:val="18"/>
              </w:rPr>
              <w:t>Portfolio purpose</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Interactive demo</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Let reviewers test merchants and see explainable decisions</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Two-page risk memo</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Show executive judgment and recommended policy</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Methodology and model card</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Demonstrate technical rigor and limitations</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Validation report</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Show out-of-time testing, calibration, sensitivity, and failure modes</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PRD and architecture excerpts</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Demonstrate product and corporate-workflow fluency</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API documentation</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Demonstrate system design and integration readiness</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Repository and release history</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Demonstrate reproducibility and disciplined implementation</w:t>
            </w:r>
          </w:p>
        </w:tc>
      </w:tr>
      <w:tr>
        <w:trPr>
          <w:cantSplit/>
        </w:trPr>
        <w:tc>
          <w:tcPr>
            <w:tcW w:type="dxa" w:w="28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90-second walkthrough</w:t>
            </w:r>
          </w:p>
        </w:tc>
        <w:tc>
          <w:tcPr>
            <w:tcW w:type="dxa" w:w="6480"/>
            <w:tcMar>
              <w:top w:w="100" w:type="dxa"/>
              <w:start w:w="120" w:type="dxa"/>
              <w:bottom w:w="100" w:type="dxa"/>
              <w:end w:w="120" w:type="dxa"/>
            </w:tcMar>
            <w:vAlign w:val="center"/>
          </w:tcPr>
          <w:p>
            <w:pPr>
              <w:keepLines/>
              <w:spacing w:after="0" w:line="252" w:lineRule="auto"/>
            </w:pPr>
            <w:r>
              <w:rPr>
                <w:rFonts w:ascii="Aptos" w:hAnsi="Aptos"/>
                <w:b w:val="0"/>
                <w:i w:val="0"/>
                <w:color w:val="1D2939"/>
                <w:sz w:val="18"/>
              </w:rPr>
              <w:t>Give recruiters a fast, guided interpretation</w:t>
            </w:r>
          </w:p>
        </w:tc>
      </w:tr>
    </w:tbl>
    <w:p>
      <w:pPr>
        <w:spacing w:after="0"/>
      </w:pP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7"/>
      </w:rPr>
      <w:t>Charlene Yang  |  Portfolio Project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085"/>
        <w:sz w:val="17"/>
      </w:rPr>
      <w:t>P1  /  PRODUCT &amp; SYSTEM BRIEF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