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Лабораторная работа №7</w:t>
      </w:r>
    </w:p>
    <w:p>
      <w:pPr>
        <w:pStyle w:val="Style15"/>
        <w:rPr/>
      </w:pPr>
      <w:r>
        <w:rPr/>
        <w:t>Элементы криптографии. Однократное гаммирование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330_2935378944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332_2935378944">
            <w:r>
              <w:rPr/>
              <w:t>2 Теоретическое введение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34_2935378944">
            <w:r>
              <w:rPr/>
              <w:t>2.1 Шифр гаммирования</w:t>
              <w:tab/>
              <w:t>1</w:t>
            </w:r>
          </w:hyperlink>
        </w:p>
        <w:p>
          <w:pPr>
            <w:pStyle w:val="11"/>
            <w:rPr/>
          </w:pPr>
          <w:hyperlink w:anchor="__RefHeading___Toc336_2935378944">
            <w:r>
              <w:rPr/>
              <w:t>3 Выполнение лабораторной работы</w:t>
              <w:tab/>
              <w:t>2</w:t>
            </w:r>
          </w:hyperlink>
        </w:p>
        <w:p>
          <w:pPr>
            <w:pStyle w:val="11"/>
            <w:rPr/>
          </w:pPr>
          <w:hyperlink w:anchor="__RefHeading___Toc338_2935378944">
            <w:r>
              <w:rPr/>
              <w:t>4 Выводы</w:t>
              <w:tab/>
              <w:t>3</w:t>
            </w:r>
          </w:hyperlink>
        </w:p>
        <w:p>
          <w:pPr>
            <w:pStyle w:val="11"/>
            <w:rPr/>
          </w:pPr>
          <w:hyperlink w:anchor="__RefHeading___Toc340_2935378944">
            <w:r>
              <w:rPr/>
              <w:t>5 Контрольные вопросы</w:t>
              <w:tab/>
              <w:t>3</w:t>
            </w:r>
          </w:hyperlink>
        </w:p>
        <w:p>
          <w:pPr>
            <w:pStyle w:val="11"/>
            <w:rPr/>
          </w:pPr>
          <w:hyperlink w:anchor="__RefHeading___Toc342_2935378944">
            <w:r>
              <w:rPr/>
              <w:t>Список литературы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330_2935378944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Освоить на практике применение режима однократного гаммирования.</w:t>
      </w:r>
      <w:bookmarkEnd w:id="2"/>
    </w:p>
    <w:p>
      <w:pPr>
        <w:pStyle w:val="1"/>
        <w:rPr/>
      </w:pPr>
      <w:bookmarkStart w:id="3" w:name="__RefHeading___Toc332_2935378944"/>
      <w:bookmarkStart w:id="4" w:name="теоретическое-введение"/>
      <w:bookmarkEnd w:id="3"/>
      <w:r>
        <w:rPr>
          <w:rStyle w:val="SectionNumber"/>
        </w:rPr>
        <w:t>2</w:t>
      </w:r>
      <w:r>
        <w:rPr/>
        <w:tab/>
        <w:t>Теоретическое введение</w:t>
      </w:r>
    </w:p>
    <w:p>
      <w:pPr>
        <w:pStyle w:val="2"/>
        <w:rPr/>
      </w:pPr>
      <w:bookmarkStart w:id="5" w:name="__RefHeading___Toc334_2935378944"/>
      <w:bookmarkStart w:id="6" w:name="шифр-гаммирования"/>
      <w:bookmarkEnd w:id="5"/>
      <w:r>
        <w:rPr>
          <w:rStyle w:val="SectionNumber"/>
        </w:rPr>
        <w:t>2.1</w:t>
      </w:r>
      <w:r>
        <w:rPr/>
        <w:tab/>
        <w:t>Шифр гаммирования</w:t>
      </w:r>
    </w:p>
    <w:p>
      <w:pPr>
        <w:pStyle w:val="FirstParagraph"/>
        <w:rPr/>
      </w:pPr>
      <w:r>
        <w:rPr/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Style10"/>
        <w:rPr/>
      </w:pPr>
      <w:r>
        <w:rPr/>
        <w:t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Style10"/>
        <w:rPr/>
      </w:pPr>
      <w:r>
        <w:rPr/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Style10"/>
        <w:rPr/>
      </w:pPr>
      <w:r>
        <w:rPr/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pStyle w:val="Normal"/>
        <w:numPr>
          <w:ilvl w:val="0"/>
          <w:numId w:val="1"/>
        </w:numPr>
        <w:rPr/>
      </w:pPr>
      <w:r>
        <w:rPr/>
        <w:t>Генерация сегмента гаммы H(1) и наложение его на соответствующий участок шифруемых данных.</w:t>
      </w:r>
    </w:p>
    <w:p>
      <w:pPr>
        <w:pStyle w:val="Normal"/>
        <w:numPr>
          <w:ilvl w:val="0"/>
          <w:numId w:val="1"/>
        </w:numPr>
        <w:rPr/>
      </w:pPr>
      <w:r>
        <w:rPr/>
        <w:t>Подсчет контрольной суммы участка, соответствующего сегменту гаммы H(1).</w:t>
      </w:r>
    </w:p>
    <w:p>
      <w:pPr>
        <w:pStyle w:val="Normal"/>
        <w:numPr>
          <w:ilvl w:val="0"/>
          <w:numId w:val="1"/>
        </w:numPr>
        <w:rPr/>
      </w:pPr>
      <w:r>
        <w:rPr/>
        <w:t>Генерация с учетом контрольной суммы уже зашифрованного участка данных следующего сегмента гамм H(2).</w:t>
      </w:r>
    </w:p>
    <w:p>
      <w:pPr>
        <w:pStyle w:val="Normal"/>
        <w:numPr>
          <w:ilvl w:val="0"/>
          <w:numId w:val="1"/>
        </w:numPr>
        <w:rPr/>
      </w:pPr>
      <w:bookmarkStart w:id="7" w:name="теоретическое-введение"/>
      <w:bookmarkStart w:id="8" w:name="шифр-гаммирования"/>
      <w:r>
        <w:rPr/>
        <w:t>Подсчет контрольной суммы участка данных, соответствующего сегменту данных H(2) и т.д.</w:t>
      </w:r>
      <w:bookmarkEnd w:id="7"/>
      <w:bookmarkEnd w:id="8"/>
    </w:p>
    <w:p>
      <w:pPr>
        <w:pStyle w:val="1"/>
        <w:rPr/>
      </w:pPr>
      <w:bookmarkStart w:id="9" w:name="__RefHeading___Toc336_2935378944"/>
      <w:bookmarkStart w:id="10" w:name="выполнение-лабораторной-работы"/>
      <w:bookmarkEnd w:id="9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Приложение, позволяющее шифровать и дешифровать данные в режиме однократного гаммирования:</w:t>
      </w:r>
    </w:p>
    <w:p>
      <w:pPr>
        <w:pStyle w:val="CaptionedFigure"/>
        <w:rPr/>
      </w:pPr>
      <w:bookmarkStart w:id="11" w:name="fig%3A001"/>
      <w:r>
        <w:rPr/>
        <w:drawing>
          <wp:inline distT="0" distB="0" distL="0" distR="0">
            <wp:extent cx="5334000" cy="3551555"/>
            <wp:effectExtent l="0" t="0" r="0" b="0"/>
            <wp:docPr id="1" name="Picture" descr="Рис. 1: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Программ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bookmarkStart w:id="12" w:name="выполнение-лабораторной-работы"/>
      <w:r>
        <w:rPr/>
        <w:t>Рис. 1: Программа</w:t>
      </w:r>
      <w:bookmarkEnd w:id="12"/>
    </w:p>
    <w:p>
      <w:pPr>
        <w:pStyle w:val="1"/>
        <w:rPr/>
      </w:pPr>
      <w:bookmarkStart w:id="13" w:name="__RefHeading___Toc338_2935378944"/>
      <w:bookmarkStart w:id="14" w:name="выводы"/>
      <w:bookmarkEnd w:id="13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15" w:name="выводы"/>
      <w:r>
        <w:rPr/>
        <w:t>Применение режима однократного гаммирования освоено на практике.</w:t>
      </w:r>
      <w:bookmarkEnd w:id="15"/>
    </w:p>
    <w:p>
      <w:pPr>
        <w:pStyle w:val="1"/>
        <w:rPr/>
      </w:pPr>
      <w:bookmarkStart w:id="16" w:name="__RefHeading___Toc340_2935378944"/>
      <w:bookmarkStart w:id="17" w:name="контрольные-вопросы"/>
      <w:bookmarkEnd w:id="16"/>
      <w:r>
        <w:rPr>
          <w:rStyle w:val="SectionNumber"/>
        </w:rPr>
        <w:t>5</w:t>
      </w:r>
      <w:r>
        <w:rPr/>
        <w:tab/>
        <w:t>Контрольные вопросы</w:t>
      </w:r>
    </w:p>
    <w:p>
      <w:pPr>
        <w:pStyle w:val="Normal"/>
        <w:numPr>
          <w:ilvl w:val="0"/>
          <w:numId w:val="10"/>
        </w:numPr>
        <w:rPr/>
      </w:pPr>
      <w:r>
        <w:rPr/>
        <w:t>Однократное гаммирование – это метод шифрования, при котором каждый символ открытого текста комбинируется с соответствующим символом ключа только один раз.</w:t>
      </w:r>
    </w:p>
    <w:p>
      <w:pPr>
        <w:pStyle w:val="Normal"/>
        <w:numPr>
          <w:ilvl w:val="0"/>
          <w:numId w:val="2"/>
        </w:numPr>
        <w:rPr/>
      </w:pPr>
      <w:r>
        <w:rPr/>
        <w:t>Недостатки однократного гаммирования:</w:t>
      </w:r>
    </w:p>
    <w:p>
      <w:pPr>
        <w:pStyle w:val="Compact"/>
        <w:numPr>
          <w:ilvl w:val="0"/>
          <w:numId w:val="11"/>
        </w:numPr>
        <w:rPr/>
      </w:pPr>
      <w:r>
        <w:rPr/>
        <w:t>Уязвимость к атакам частотного анализа из-за повторяющихся шифротекстов.</w:t>
      </w:r>
    </w:p>
    <w:p>
      <w:pPr>
        <w:pStyle w:val="Compact"/>
        <w:numPr>
          <w:ilvl w:val="0"/>
          <w:numId w:val="12"/>
        </w:numPr>
        <w:rPr/>
      </w:pPr>
      <w:r>
        <w:rPr/>
        <w:t>Необходимость генерации случайного ключа такой же длины, что и открытый текст.</w:t>
      </w:r>
    </w:p>
    <w:p>
      <w:pPr>
        <w:pStyle w:val="Compact"/>
        <w:numPr>
          <w:ilvl w:val="0"/>
          <w:numId w:val="13"/>
        </w:numPr>
        <w:rPr/>
      </w:pPr>
      <w:r>
        <w:rPr/>
        <w:t>Один и тот же ключ не может использоваться повторно для шифрования других сообщений.</w:t>
      </w:r>
    </w:p>
    <w:p>
      <w:pPr>
        <w:pStyle w:val="Compact"/>
        <w:numPr>
          <w:ilvl w:val="0"/>
          <w:numId w:val="14"/>
        </w:numPr>
        <w:rPr/>
      </w:pPr>
      <w:r>
        <w:rPr/>
        <w:t>Преимущества однократного гаммирования:</w:t>
      </w:r>
    </w:p>
    <w:p>
      <w:pPr>
        <w:pStyle w:val="Compact"/>
        <w:numPr>
          <w:ilvl w:val="0"/>
          <w:numId w:val="15"/>
        </w:numPr>
        <w:rPr/>
      </w:pPr>
      <w:r>
        <w:rPr/>
        <w:t>При правильной реализации обеспечивает абсолютную стойкость.</w:t>
      </w:r>
    </w:p>
    <w:p>
      <w:pPr>
        <w:pStyle w:val="Compact"/>
        <w:numPr>
          <w:ilvl w:val="0"/>
          <w:numId w:val="16"/>
        </w:numPr>
        <w:rPr/>
      </w:pPr>
      <w:r>
        <w:rPr/>
        <w:t>Шифротекст не подвержен атакам, основанным на статистическом анализе.</w:t>
      </w:r>
    </w:p>
    <w:p>
      <w:pPr>
        <w:pStyle w:val="Normal"/>
        <w:numPr>
          <w:ilvl w:val="0"/>
          <w:numId w:val="17"/>
        </w:numPr>
        <w:rPr/>
      </w:pPr>
      <w:r>
        <w:rPr/>
        <w:t>Длина открытого текста должна совпадать с длиной ключа в однократном гаммировании, чтобы каждый символ открытого текста мог быть комбинирован с соответствующим символом ключа.</w:t>
      </w:r>
    </w:p>
    <w:p>
      <w:pPr>
        <w:pStyle w:val="Normal"/>
        <w:numPr>
          <w:ilvl w:val="0"/>
          <w:numId w:val="6"/>
        </w:numPr>
        <w:rPr/>
      </w:pPr>
      <w:r>
        <w:rPr/>
        <w:t>В режиме однократного гаммирования используется операция XOR (исключающее ИЛИ), которая комбинирует каждый бит открытого текста с соответствующим битом ключа. Особенностью XOR является то, что результат равен 1 только в случае, если входные биты различны.</w:t>
      </w:r>
    </w:p>
    <w:p>
      <w:pPr>
        <w:pStyle w:val="Normal"/>
        <w:numPr>
          <w:ilvl w:val="0"/>
          <w:numId w:val="6"/>
        </w:numPr>
        <w:rPr/>
      </w:pPr>
      <w:r>
        <w:rPr/>
        <w:t>Для получения шифротекста по открытому тексту и ключу необходимо применить операцию XOR между каждым символом открытого текста и соответствующим символом ключа.</w:t>
      </w:r>
    </w:p>
    <w:p>
      <w:pPr>
        <w:pStyle w:val="Normal"/>
        <w:numPr>
          <w:ilvl w:val="0"/>
          <w:numId w:val="6"/>
        </w:numPr>
        <w:rPr/>
      </w:pPr>
      <w:r>
        <w:rPr/>
        <w:t>Получение ключа по открытому тексту и шифротексту в случае однократного гаммирования невозможно без знания исходного ключа, так как операция XOR необратима.</w:t>
      </w:r>
    </w:p>
    <w:p>
      <w:pPr>
        <w:pStyle w:val="Normal"/>
        <w:numPr>
          <w:ilvl w:val="0"/>
          <w:numId w:val="6"/>
        </w:numPr>
        <w:rPr/>
      </w:pPr>
      <w:r>
        <w:rPr/>
        <w:t>Необходимые и достаточные условия абсолютной стойкости шифра включают в себя:</w:t>
      </w:r>
    </w:p>
    <w:p>
      <w:pPr>
        <w:pStyle w:val="Compact"/>
        <w:numPr>
          <w:ilvl w:val="0"/>
          <w:numId w:val="18"/>
        </w:numPr>
        <w:rPr/>
      </w:pPr>
      <w:r>
        <w:rPr/>
        <w:t>Ключ должен быть случайным, длинным и использоваться только один раз.</w:t>
      </w:r>
    </w:p>
    <w:p>
      <w:pPr>
        <w:pStyle w:val="Compact"/>
        <w:numPr>
          <w:ilvl w:val="0"/>
          <w:numId w:val="19"/>
        </w:numPr>
        <w:rPr/>
      </w:pPr>
      <w:r>
        <w:rPr/>
        <w:t>Ключ должен быть такой же длины, что и открытый текст.</w:t>
      </w:r>
    </w:p>
    <w:p>
      <w:pPr>
        <w:pStyle w:val="Compact"/>
        <w:numPr>
          <w:ilvl w:val="0"/>
          <w:numId w:val="20"/>
        </w:numPr>
        <w:rPr/>
      </w:pPr>
      <w:bookmarkStart w:id="18" w:name="контрольные-вопросы"/>
      <w:r>
        <w:rPr/>
        <w:t>Ключ должен быть известен только отправителю и получателю сообщения.</w:t>
      </w:r>
      <w:bookmarkEnd w:id="18"/>
    </w:p>
    <w:p>
      <w:pPr>
        <w:pStyle w:val="1"/>
        <w:rPr/>
      </w:pPr>
      <w:bookmarkStart w:id="19" w:name="__RefHeading___Toc342_2935378944"/>
      <w:bookmarkStart w:id="20" w:name="список-литературы"/>
      <w:bookmarkEnd w:id="19"/>
      <w:r>
        <w:rPr/>
        <w:t>Список литературы</w:t>
      </w:r>
      <w:bookmarkStart w:id="21" w:name="refs"/>
    </w:p>
    <w:p>
      <w:pPr>
        <w:pStyle w:val="Compact"/>
        <w:numPr>
          <w:ilvl w:val="0"/>
          <w:numId w:val="21"/>
        </w:numPr>
        <w:spacing w:before="36" w:after="36"/>
        <w:rPr/>
      </w:pPr>
      <w:hyperlink r:id="rId3">
        <w:bookmarkStart w:id="22" w:name="список-литературы"/>
        <w:bookmarkEnd w:id="21"/>
        <w:r>
          <w:rPr/>
          <w:t>XOR cypher</w:t>
        </w:r>
      </w:hyperlink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4"/>
    <w:lvlOverride w:ilvl="0">
      <w:startOverride w:val="3"/>
    </w:lvlOverride>
  </w:num>
  <w:num w:numId="15">
    <w:abstractNumId w:val="1"/>
  </w:num>
  <w:num w:numId="16">
    <w:abstractNumId w:val="1"/>
  </w:num>
  <w:num w:numId="17">
    <w:abstractNumId w:val="6"/>
    <w:lvlOverride w:ilvl="0">
      <w:startOverride w:val="4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3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XOR_ciph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4</Pages>
  <Words>561</Words>
  <Characters>3779</Characters>
  <CharactersWithSpaces>4274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2024-05-09T13:10:02Z</dcterms:created>
  <dc:creator>Аскеров Александр Эдуардович</dc:creator>
  <dc:description/>
  <dc:language>ru-RU</dc:language>
  <cp:lastModifiedBy/>
  <dcterms:modified xsi:type="dcterms:W3CDTF">2024-05-09T16:10:53Z</dcterms:modified>
  <cp:revision>1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Элементы криптографии. Однократное гаммирование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