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11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28.png" ContentType="image/png"/>
  <Override PartName="/word/media/image36.png" ContentType="image/png"/>
  <Override PartName="/word/media/image6.png" ContentType="image/png"/>
  <Override PartName="/word/media/image29.png" ContentType="image/png"/>
  <Override PartName="/word/media/image1.png" ContentType="image/png"/>
  <Override PartName="/word/media/image31.png" ContentType="image/png"/>
  <Override PartName="/word/media/image10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Лабораторная работа №4</w:t>
      </w:r>
    </w:p>
    <w:p>
      <w:pPr>
        <w:pStyle w:val="Subtitle"/>
        <w:rPr/>
      </w:pPr>
      <w:r>
        <w:rPr/>
        <w:t>Линейная алгебра</w:t>
      </w:r>
    </w:p>
    <w:p>
      <w:pPr>
        <w:pStyle w:val="Author"/>
        <w:rPr/>
      </w:pPr>
      <w:r>
        <w:rPr/>
        <w:t>Александр Эдуардович Аскеров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47_3343537304">
            <w:r>
              <w:rPr>
                <w:webHidden/>
                <w:rStyle w:val="IndexLink"/>
              </w:rPr>
              <w:t>1. Цель работы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749_3343537304">
            <w:r>
              <w:rPr>
                <w:webHidden/>
                <w:rStyle w:val="IndexLink"/>
              </w:rPr>
              <w:t>2. Задание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751_3343537304">
            <w:r>
              <w:rPr>
                <w:webHidden/>
                <w:rStyle w:val="IndexLink"/>
              </w:rPr>
              <w:t>3. Выполнение лабораторной работы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753_3343537304">
            <w:r>
              <w:rPr>
                <w:webHidden/>
                <w:rStyle w:val="IndexLink"/>
              </w:rPr>
              <w:t>3.1 Повтор примеров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755_3343537304">
            <w:r>
              <w:rPr>
                <w:webHidden/>
                <w:rStyle w:val="IndexLink"/>
              </w:rPr>
              <w:t>3.2 Выполнение заданий для самостоятельной работы</w:t>
              <w:tab/>
              <w:t>15</w:t>
            </w:r>
          </w:hyperlink>
        </w:p>
        <w:p>
          <w:pPr>
            <w:pStyle w:val="Contents1"/>
            <w:rPr/>
          </w:pPr>
          <w:hyperlink w:anchor="__RefHeading___Toc757_3343537304">
            <w:r>
              <w:rPr>
                <w:webHidden/>
                <w:rStyle w:val="IndexLink"/>
              </w:rPr>
              <w:t>4. Выводы</w:t>
              <w:tab/>
              <w:t>24</w:t>
            </w:r>
          </w:hyperlink>
        </w:p>
        <w:p>
          <w:pPr>
            <w:pStyle w:val="Contents1"/>
            <w:rPr/>
          </w:pPr>
          <w:hyperlink w:anchor="__RefHeading___Toc759_3343537304">
            <w:r>
              <w:rPr>
                <w:webHidden/>
                <w:rStyle w:val="IndexLink"/>
              </w:rPr>
              <w:t>Список литературы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747_3343537304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  <w:bookmarkEnd w:id="2"/>
    </w:p>
    <w:p>
      <w:pPr>
        <w:pStyle w:val="Heading1"/>
        <w:rPr/>
      </w:pPr>
      <w:bookmarkStart w:id="3" w:name="__RefHeading___Toc749_3343537304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12"/>
        </w:numPr>
        <w:rPr/>
      </w:pPr>
      <w:r>
        <w:rPr/>
        <w:t>Используя Jupyter Lab, повторите примеры из раздела 4.2.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Выполните задания для самостоятельной работы.</w:t>
      </w:r>
      <w:bookmarkEnd w:id="5"/>
    </w:p>
    <w:p>
      <w:pPr>
        <w:pStyle w:val="Heading1"/>
        <w:rPr/>
      </w:pPr>
      <w:bookmarkStart w:id="6" w:name="__RefHeading___Toc751_3343537304"/>
      <w:bookmarkStart w:id="7" w:name="выполнение-лабораторной-работы"/>
      <w:bookmarkEnd w:id="6"/>
      <w:r>
        <w:rPr/>
        <w:t>3. Выполнение лабораторной работы</w:t>
      </w:r>
    </w:p>
    <w:p>
      <w:pPr>
        <w:pStyle w:val="Heading2"/>
        <w:rPr/>
      </w:pPr>
      <w:bookmarkStart w:id="8" w:name="__RefHeading___Toc753_3343537304"/>
      <w:bookmarkStart w:id="9" w:name="повтор-примеров"/>
      <w:bookmarkEnd w:id="8"/>
      <w:r>
        <w:rPr/>
        <w:t>3.1 Повтор примеров</w:t>
      </w:r>
    </w:p>
    <w:p>
      <w:pPr>
        <w:pStyle w:val="FirstParagraph"/>
        <w:rPr/>
      </w:pPr>
      <w:r>
        <w:rPr/>
        <w:t>Повторим примеры из раздела поэлементные операции над многомерными массивами. [1]</w:t>
      </w:r>
    </w:p>
    <w:p>
      <w:pPr>
        <w:pStyle w:val="TextBody"/>
        <w:rPr/>
      </w:pPr>
      <w:r>
        <w:rPr/>
        <w:t xml:space="preserve">Для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 рассмотрим поэлементные операции сложения и произведения её элементов: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561715" cy="4215765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715" cy="421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Поэлементные операции над многомерными массивами 1</w:t>
            </w:r>
            <w:bookmarkEnd w:id="1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089910" cy="292608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91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Поэлементные операции над многомерными массивами 2</w:t>
            </w:r>
            <w:bookmarkEnd w:id="13"/>
          </w:p>
        </w:tc>
      </w:tr>
    </w:tbl>
    <w:p>
      <w:pPr>
        <w:pStyle w:val="TextBody"/>
        <w:rPr/>
      </w:pPr>
      <w:r>
        <w:rPr/>
        <w:t>Для работы со средними значениями можно воспользоваться возможностями пакета Statistics: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1376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Поэлементные операции над многомерными массивами 3</w:t>
            </w:r>
            <w:bookmarkEnd w:id="15"/>
          </w:p>
        </w:tc>
      </w:tr>
    </w:tbl>
    <w:p>
      <w:pPr>
        <w:pStyle w:val="TextBody"/>
        <w:rPr/>
      </w:pPr>
      <w:r>
        <w:rPr/>
        <w:t>Повторим примеры из раздела транспонирование, след, ранг, определитель и инверсия матрицы.</w:t>
      </w:r>
    </w:p>
    <w:p>
      <w:pPr>
        <w:pStyle w:val="TextBody"/>
        <w:rPr/>
      </w:pPr>
      <w:r>
        <w:rPr/>
        <w:t>Для выполнения таких операций над матрицами, как транспонирование, диагонализация, определение следа, ранга, определителя матрицы и т.п. можно воспользоваться библиотекой (пакетом) LinearAlgebra: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05150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Транспонирование, след, ранг, определитель и инверсия матрицы 1</w:t>
            </w:r>
            <w:bookmarkEnd w:id="1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543935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Транспонирование, след, ранг, определитель и инверсия матрицы 2</w:t>
            </w:r>
            <w:bookmarkEnd w:id="19"/>
          </w:p>
        </w:tc>
      </w:tr>
    </w:tbl>
    <w:p>
      <w:pPr>
        <w:pStyle w:val="TextBody"/>
        <w:rPr/>
      </w:pPr>
      <w:r>
        <w:rPr/>
        <w:t>Повторим примеры из раздела вычисление нормы векторов и матриц, повороты, вращения.</w:t>
      </w:r>
    </w:p>
    <w:p>
      <w:pPr>
        <w:pStyle w:val="TextBody"/>
        <w:rPr/>
      </w:pPr>
      <w:r>
        <w:rPr/>
        <w:t>Для вычисления нормы используется LinearAlgebra.norm(x).</w:t>
      </w:r>
    </w:p>
    <w:p>
      <w:pPr>
        <w:pStyle w:val="TextBody"/>
        <w:rPr/>
      </w:pPr>
      <w:r>
        <w:rPr/>
        <w:t>Евклидова норма: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∥</m:t>
          </m:r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sSub>
            <m:e>
              <m:r>
                <w:rPr>
                  <w:rFonts w:ascii="Cambria Math" w:hAnsi="Cambria Math"/>
                </w:rPr>
                <m:t xml:space="preserve">∥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b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e>
          </m:rad>
        </m:oMath>
      </m:oMathPara>
    </w:p>
    <w:p>
      <w:pPr>
        <w:pStyle w:val="FirstParagraph"/>
        <w:rPr/>
      </w:pPr>
      <w:r>
        <w:rPr/>
        <w:t>p-норма: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∥</m:t>
          </m:r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A</m:t>
              </m:r>
            </m:e>
          </m:acc>
          <m:sSub>
            <m:e>
              <m:r>
                <w:rPr>
                  <w:rFonts w:ascii="Cambria Math" w:hAnsi="Cambria Math"/>
                </w:rPr>
                <m:t xml:space="preserve">∥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p>
                    <m:e>
                      <m:sSup>
                        <m:e>
                          <m:d>
                            <m:dPr>
                              <m:begChr m:val="|"/>
                              <m:endChr m:val="|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p</m:t>
                  </m:r>
                </m:den>
              </m:f>
            </m:sup>
          </m:sSup>
        </m:oMath>
      </m:oMathPara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1761490" cy="1694180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490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Вычисление нормы векторов и матриц, повороты, вращения 1</w:t>
            </w:r>
            <w:bookmarkEnd w:id="21"/>
          </w:p>
        </w:tc>
      </w:tr>
    </w:tbl>
    <w:p>
      <w:pPr>
        <w:pStyle w:val="TextBody"/>
        <w:rPr/>
      </w:pPr>
      <w:r>
        <w:rPr/>
        <w:t xml:space="preserve">Евклидово расстояние между двумя векторами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</m:oMath>
      <w:r>
        <w:rPr/>
        <w:t xml:space="preserve"> 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</m:oMath>
      <w:r>
        <w:rPr/>
        <w:t xml:space="preserve"> определяется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∥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  <m:sSub>
          <m:e>
            <m:r>
              <w:rPr>
                <w:rFonts w:ascii="Cambria Math" w:hAnsi="Cambria Math"/>
              </w:rPr>
              <m:t xml:space="preserve">∥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1886585" cy="1664970"/>
                  <wp:effectExtent l="0" t="0" r="0" b="0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6585" cy="166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Вычисление нормы векторов и матриц, повороты, вращения 2</w:t>
            </w:r>
            <w:bookmarkEnd w:id="23"/>
          </w:p>
        </w:tc>
      </w:tr>
    </w:tbl>
    <w:p>
      <w:pPr>
        <w:pStyle w:val="TextBody"/>
        <w:rPr/>
      </w:pPr>
      <w:r>
        <w:rPr/>
        <w:t xml:space="preserve">Угол между двумя векторами⃗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</m:oMath>
      <w:r>
        <w:rPr/>
        <w:t xml:space="preserve"> 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</m:oMath>
      <w:r>
        <w:rPr/>
        <w:t xml:space="preserve"> определяется как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cos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  <m:d>
          <m:dPr>
            <m:begChr m:val="("/>
            <m:endChr m:val=")"/>
          </m:dPr>
          <m:e>
            <m:f>
              <m:num>
                <m:sSup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acc>
              </m:num>
              <m:den>
                <m:r>
                  <w:rPr>
                    <w:rFonts w:ascii="Cambria Math" w:hAnsi="Cambria Math"/>
                  </w:rPr>
                  <m:t xml:space="preserve">∥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acc>
                <m:sSub>
                  <m:e>
                    <m:r>
                      <w:rPr>
                        <w:rFonts w:ascii="Cambria Math" w:hAnsi="Cambria Math"/>
                      </w:rPr>
                      <m:t xml:space="preserve"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∥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acc>
                <m:sSub>
                  <m:e>
                    <m:r>
                      <w:rPr>
                        <w:rFonts w:ascii="Cambria Math" w:hAnsi="Cambria Math"/>
                      </w:rPr>
                      <m:t xml:space="preserve"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den>
            </m:f>
          </m:e>
        </m:d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91515"/>
                  <wp:effectExtent l="0" t="0" r="0" b="0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Вычисление нормы векторов и матриц, повороты, вращения 3</w:t>
            </w:r>
            <w:bookmarkEnd w:id="25"/>
          </w:p>
        </w:tc>
      </w:tr>
    </w:tbl>
    <w:p>
      <w:pPr>
        <w:pStyle w:val="TextBody"/>
        <w:rPr/>
      </w:pPr>
      <w:r>
        <w:rPr/>
        <w:t>Вычисление нормы для двумерной матрицы: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820920"/>
                  <wp:effectExtent l="0" t="0" r="0" b="0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2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Вычисление нормы векторов и матриц, повороты, вращения 4</w:t>
            </w:r>
            <w:bookmarkEnd w:id="27"/>
          </w:p>
        </w:tc>
      </w:tr>
    </w:tbl>
    <w:p>
      <w:pPr>
        <w:pStyle w:val="TextBody"/>
        <w:rPr/>
      </w:pPr>
      <w:r>
        <w:rPr/>
        <w:t>Повторим примеры из раздела матричное умножение, единичная матрица, скалярное произведение.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618480"/>
                  <wp:effectExtent l="0" t="0" r="0" b="0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1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Матричное умножение, единичная матрица, скалярное произведение</w:t>
            </w:r>
            <w:bookmarkEnd w:id="29"/>
          </w:p>
        </w:tc>
      </w:tr>
    </w:tbl>
    <w:p>
      <w:pPr>
        <w:pStyle w:val="TextBody"/>
        <w:rPr/>
      </w:pPr>
      <w:r>
        <w:rPr/>
        <w:t xml:space="preserve">Повторим примеры из раздела факторизация, специальные матричные структуры. Решение систем линейный алгебраических уравнений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/>
        <w:t>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067175"/>
                  <wp:effectExtent l="0" t="0" r="0" b="0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Факторизация, специальные матричные структуры 1</w:t>
            </w:r>
            <w:bookmarkEnd w:id="31"/>
          </w:p>
        </w:tc>
      </w:tr>
    </w:tbl>
    <w:p>
      <w:pPr>
        <w:pStyle w:val="TextBody"/>
        <w:rPr/>
      </w:pPr>
      <w:r>
        <w:rPr/>
        <w:t>Julia позволяет вычислять LU-факторизацию и определяет составной тип факторизации для его хранения: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92655"/>
                  <wp:effectExtent l="0" t="0" r="0" b="0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Факторизация, специальные матричные структуры 2</w:t>
            </w:r>
            <w:bookmarkEnd w:id="33"/>
          </w:p>
        </w:tc>
      </w:tr>
    </w:tbl>
    <w:p>
      <w:pPr>
        <w:pStyle w:val="TextBody"/>
        <w:rPr/>
      </w:pPr>
      <w:r>
        <w:rPr/>
        <w:t>Различные части факторизации могут быть извлечены путём доступа к их специальным свойствам: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59580"/>
                  <wp:effectExtent l="0" t="0" r="0" b="0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Факторизация, специальные матричные структуры 3</w:t>
            </w:r>
            <w:bookmarkEnd w:id="35"/>
          </w:p>
        </w:tc>
      </w:tr>
    </w:tbl>
    <w:p>
      <w:pPr>
        <w:pStyle w:val="TextBody"/>
        <w:rPr/>
      </w:pPr>
      <w:r>
        <w:rPr/>
        <w:t xml:space="preserve">Исходная система уравнений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/>
        <w:t xml:space="preserve"> может быть решена или с использованием исходной матрицы, или с использованием объекта факторизации: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93390" cy="2319655"/>
                  <wp:effectExtent l="0" t="0" r="0" b="0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390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Факторизация, специальные матричные структуры 4</w:t>
            </w:r>
            <w:bookmarkEnd w:id="37"/>
          </w:p>
        </w:tc>
      </w:tr>
    </w:tbl>
    <w:p>
      <w:pPr>
        <w:pStyle w:val="TextBody"/>
        <w:rPr/>
      </w:pPr>
      <w:r>
        <w:rPr/>
        <w:t>Аналогично можно найти детерминант матрицы: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319655" cy="1347470"/>
                  <wp:effectExtent l="0" t="0" r="0" b="0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9655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Факторизация, специальные матричные структуры 5</w:t>
            </w:r>
            <w:bookmarkEnd w:id="39"/>
          </w:p>
        </w:tc>
      </w:tr>
    </w:tbl>
    <w:p>
      <w:pPr>
        <w:pStyle w:val="TextBody"/>
        <w:rPr/>
      </w:pPr>
      <w:r>
        <w:rPr/>
        <w:t>Julia позволяет вычислять QR-факторизацию и определяет составной тип факторизации для его хранения: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21385"/>
                  <wp:effectExtent l="0" t="0" r="0" b="0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Факторизация, специальные матричные структуры 6</w:t>
            </w:r>
            <w:bookmarkEnd w:id="41"/>
          </w:p>
        </w:tc>
      </w:tr>
    </w:tbl>
    <w:p>
      <w:pPr>
        <w:pStyle w:val="TextBody"/>
        <w:rPr/>
      </w:pPr>
      <w:r>
        <w:rPr/>
        <w:t>По аналогии с LU-факторизацией различные части QR-факторизации могут быть извлечены путём доступа к их специальным свойствам: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52295"/>
                  <wp:effectExtent l="0" t="0" r="0" b="0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Факторизация, специальные матричные структуры 7</w:t>
            </w:r>
            <w:bookmarkEnd w:id="43"/>
          </w:p>
        </w:tc>
      </w:tr>
    </w:tbl>
    <w:p>
      <w:pPr>
        <w:pStyle w:val="TextBody"/>
        <w:rPr/>
      </w:pPr>
      <w:r>
        <w:rPr/>
        <w:t xml:space="preserve">Примеры собственной декомпозиции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>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508375"/>
                  <wp:effectExtent l="0" t="0" r="0" b="0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Факторизация, специальные матричные структуры 8</w:t>
            </w:r>
            <w:bookmarkEnd w:id="4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65350"/>
                  <wp:effectExtent l="0" t="0" r="0" b="0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Факторизация, специальные матричные структуры 9</w:t>
            </w:r>
            <w:bookmarkEnd w:id="47"/>
          </w:p>
        </w:tc>
      </w:tr>
    </w:tbl>
    <w:p>
      <w:pPr>
        <w:pStyle w:val="TextBody"/>
        <w:rPr/>
      </w:pPr>
      <w:r>
        <w:rPr/>
        <w:t>Далее рассмотрим примеры работы с матрицами большой размерности и специальной структуры.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050415" cy="1164590"/>
                  <wp:effectExtent l="0" t="0" r="0" b="0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15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Факторизация, специальные матричные структуры 10</w:t>
            </w:r>
            <w:bookmarkEnd w:id="49"/>
          </w:p>
        </w:tc>
      </w:tr>
    </w:tbl>
    <w:p>
      <w:pPr>
        <w:pStyle w:val="TextBody"/>
        <w:rPr/>
      </w:pPr>
      <w:r>
        <w:rPr/>
        <w:t>Пример добавления шума в симметричную матрицу (матрица уже не будет симмет- ричной):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416175" cy="962660"/>
                  <wp:effectExtent l="0" t="0" r="0" b="0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175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Факторизация, специальные матричные структуры 11</w:t>
            </w:r>
            <w:bookmarkEnd w:id="51"/>
          </w:p>
        </w:tc>
      </w:tr>
    </w:tbl>
    <w:p>
      <w:pPr>
        <w:pStyle w:val="TextBody"/>
        <w:rPr/>
      </w:pPr>
      <w:r>
        <w:rPr/>
        <w:t>В Julia можно объявить структуру матрицы явно, например, используя Diagonal,Triangular, Symmetric, Hermitian, Tridiagonal и SymTridiagonal: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94025"/>
                  <wp:effectExtent l="0" t="0" r="0" b="0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Факторизация, специальные матричные структуры 12</w:t>
            </w:r>
            <w:bookmarkEnd w:id="53"/>
          </w:p>
        </w:tc>
      </w:tr>
    </w:tbl>
    <w:p>
      <w:pPr>
        <w:pStyle w:val="TextBody"/>
        <w:rPr/>
      </w:pPr>
      <w:r>
        <w:rPr/>
        <w:t>Далее для оценки эффективности выполнения операций над матрицами большой размерности и специальной структуры воспользуемся пакетом BenchmarkTools: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96235"/>
                  <wp:effectExtent l="0" t="0" r="0" b="0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Факторизация, специальные матричные структуры 13</w:t>
            </w:r>
            <w:bookmarkEnd w:id="55"/>
          </w:p>
        </w:tc>
      </w:tr>
    </w:tbl>
    <w:p>
      <w:pPr>
        <w:pStyle w:val="TextBody"/>
        <w:rPr/>
      </w:pPr>
      <w:r>
        <w:rPr/>
        <w:t>Далее рассмотрим примеры работы с разряженными матрицами большой размерности.</w:t>
      </w:r>
    </w:p>
    <w:p>
      <w:pPr>
        <w:pStyle w:val="TextBody"/>
        <w:rPr/>
      </w:pPr>
      <w:r>
        <w:rPr/>
        <w:t>Использование типов Tridiagonal и SymTridiagonal для хранения трёхдиагональных матриц позволяет работать с потенциально очень большими трёхдиагональными матрицами: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69695"/>
                  <wp:effectExtent l="0" t="0" r="0" b="0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Факторизация, специальные матричные структуры 14</w:t>
            </w:r>
            <w:bookmarkEnd w:id="57"/>
          </w:p>
        </w:tc>
      </w:tr>
    </w:tbl>
    <w:p>
      <w:pPr>
        <w:pStyle w:val="TextBody"/>
        <w:rPr/>
      </w:pPr>
      <w:r>
        <w:rPr/>
        <w:t>При попытке задать подобную матрицу обычным способом и посчитать её собственные значения, вы скорее всего получите ошибку переполнения памяти: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252345" cy="664210"/>
                  <wp:effectExtent l="0" t="0" r="0" b="0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345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Факторизация, специальные матричные структуры 15</w:t>
            </w:r>
            <w:bookmarkEnd w:id="59"/>
          </w:p>
        </w:tc>
      </w:tr>
    </w:tbl>
    <w:p>
      <w:pPr>
        <w:pStyle w:val="TextBody"/>
        <w:rPr/>
      </w:pPr>
      <w:r>
        <w:rPr/>
        <w:t>Повторим примеры из раздела общая линейная алгебра.</w:t>
      </w:r>
    </w:p>
    <w:p>
      <w:pPr>
        <w:pStyle w:val="TextBody"/>
        <w:rPr/>
      </w:pPr>
      <w:r>
        <w:rPr/>
        <w:t>Julia также поддерживает общую линейную алгебру, что позволяет, например, работать с матрицами и векторами рациональных чисел.</w:t>
      </w:r>
    </w:p>
    <w:p>
      <w:pPr>
        <w:pStyle w:val="TextBody"/>
        <w:rPr/>
      </w:pPr>
      <w:r>
        <w:rPr/>
        <w:t>Для задания рационального числа используется двойная косая черта: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837565" cy="683260"/>
                  <wp:effectExtent l="0" t="0" r="0" b="0"/>
                  <wp:docPr id="26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68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Общая линейная алгебра 1</w:t>
            </w:r>
            <w:bookmarkEnd w:id="61"/>
          </w:p>
        </w:tc>
      </w:tr>
    </w:tbl>
    <w:p>
      <w:pPr>
        <w:pStyle w:val="TextBody"/>
        <w:rPr/>
      </w:pPr>
      <w:r>
        <w:rPr/>
        <w:t>В следующем примере показано, как можно решить систему линейных уравнений с рациональными элементами без преобразования в типы элементов с плавающей запятой (для избежания проблемы с переполнением используем BigInt):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248910"/>
                  <wp:effectExtent l="0" t="0" r="0" b="0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повтор-примеров"/>
            <w:bookmarkStart w:id="64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Общая линейная алгебра 2</w:t>
            </w:r>
            <w:bookmarkEnd w:id="63"/>
            <w:bookmarkEnd w:id="64"/>
          </w:p>
        </w:tc>
      </w:tr>
    </w:tbl>
    <w:p>
      <w:pPr>
        <w:pStyle w:val="Heading2"/>
        <w:rPr/>
      </w:pPr>
      <w:bookmarkStart w:id="65" w:name="__RefHeading___Toc755_3343537304"/>
      <w:bookmarkEnd w:id="65"/>
      <w:r>
        <w:rPr/>
        <w:t>3.2 Выполнение заданий для самостоятельной работы</w:t>
      </w:r>
    </w:p>
    <w:p>
      <w:pPr>
        <w:pStyle w:val="Heading3"/>
        <w:rPr/>
      </w:pPr>
      <w:bookmarkStart w:id="66" w:name="произведение-векторов"/>
      <w:r>
        <w:rPr/>
        <w:t>3.2.1 Произведение векторов</w:t>
      </w:r>
    </w:p>
    <w:p>
      <w:pPr>
        <w:pStyle w:val="Compact"/>
        <w:numPr>
          <w:ilvl w:val="0"/>
          <w:numId w:val="13"/>
        </w:numPr>
        <w:rPr/>
      </w:pPr>
      <w:r>
        <w:rPr/>
        <w:t>Задайте вектор v. Умножьте вектор v скалярно сам на себя и сохраните результат в dot_v.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050415" cy="837565"/>
                  <wp:effectExtent l="0" t="0" r="0" b="0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15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Задание 1</w:t>
            </w:r>
            <w:bookmarkEnd w:id="68"/>
          </w:p>
        </w:tc>
      </w:tr>
    </w:tbl>
    <w:p>
      <w:pPr>
        <w:pStyle w:val="TextBody"/>
        <w:rPr/>
      </w:pPr>
      <w:r>
        <w:rPr/>
        <w:t>2.Умножьте v матрично на себя (внешнее произведение), присвоив результат переменной outer_v.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1905635" cy="1376045"/>
                  <wp:effectExtent l="0" t="0" r="0" b="0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63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произведение-векторов"/>
            <w:bookmarkStart w:id="71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Задание 2</w:t>
            </w:r>
            <w:bookmarkEnd w:id="70"/>
            <w:bookmarkEnd w:id="71"/>
          </w:p>
        </w:tc>
      </w:tr>
    </w:tbl>
    <w:p>
      <w:pPr>
        <w:pStyle w:val="Heading3"/>
        <w:rPr/>
      </w:pPr>
      <w:r>
        <w:rPr/>
        <w:t>3.2.2 Системы линейных уравнений</w:t>
      </w:r>
    </w:p>
    <w:p>
      <w:pPr>
        <w:pStyle w:val="Compact"/>
        <w:numPr>
          <w:ilvl w:val="0"/>
          <w:numId w:val="14"/>
        </w:numPr>
        <w:rPr/>
      </w:pPr>
      <w:r>
        <w:rPr/>
        <w:t>Решить СЛАУ с двумя неизвестными.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741420"/>
                  <wp:effectExtent l="0" t="0" r="0" b="0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Задания a, b, c</w:t>
            </w:r>
            <w:bookmarkEnd w:id="7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91865"/>
                  <wp:effectExtent l="0" t="0" r="0" b="0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Задания d, e, f</w:t>
            </w:r>
            <w:bookmarkEnd w:id="75"/>
          </w:p>
        </w:tc>
      </w:tr>
    </w:tbl>
    <w:p>
      <w:pPr>
        <w:pStyle w:val="Compact"/>
        <w:numPr>
          <w:ilvl w:val="0"/>
          <w:numId w:val="15"/>
        </w:numPr>
        <w:rPr/>
      </w:pPr>
      <w:r>
        <w:rPr/>
        <w:t>Решить СЛАУ с тремя неизвестными.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911725"/>
                  <wp:effectExtent l="0" t="0" r="0" b="0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Задания a, b, c, d</w:t>
            </w:r>
            <w:bookmarkEnd w:id="77"/>
          </w:p>
        </w:tc>
      </w:tr>
    </w:tbl>
    <w:p>
      <w:pPr>
        <w:pStyle w:val="Heading3"/>
        <w:rPr/>
      </w:pPr>
      <w:r>
        <w:rPr/>
        <w:t>3.2.3 Операции с матрицами</w:t>
      </w:r>
    </w:p>
    <w:p>
      <w:pPr>
        <w:pStyle w:val="Compact"/>
        <w:numPr>
          <w:ilvl w:val="0"/>
          <w:numId w:val="16"/>
        </w:numPr>
        <w:rPr/>
      </w:pPr>
      <w:r>
        <w:rPr/>
        <w:t>Приведите приведённые ниже матрицы к диагональному виду.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961130"/>
                  <wp:effectExtent l="0" t="0" r="0" b="0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Задание 1</w:t>
            </w:r>
            <w:bookmarkEnd w:id="79"/>
          </w:p>
        </w:tc>
      </w:tr>
    </w:tbl>
    <w:p>
      <w:pPr>
        <w:pStyle w:val="Compact"/>
        <w:numPr>
          <w:ilvl w:val="0"/>
          <w:numId w:val="17"/>
        </w:numPr>
        <w:rPr/>
      </w:pPr>
      <w:r>
        <w:rPr/>
        <w:t>Вычислите.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842385"/>
                  <wp:effectExtent l="0" t="0" r="0" b="0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Задание 2</w:t>
            </w:r>
            <w:bookmarkEnd w:id="81"/>
          </w:p>
        </w:tc>
      </w:tr>
    </w:tbl>
    <w:p>
      <w:pPr>
        <w:pStyle w:val="Compact"/>
        <w:numPr>
          <w:ilvl w:val="0"/>
          <w:numId w:val="18"/>
        </w:numPr>
        <w:rPr/>
      </w:pPr>
      <w:r>
        <w:rPr/>
        <w:t xml:space="preserve">Найдите собственные значения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41375"/>
                  <wp:effectExtent l="0" t="0" r="0" b="0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 xml:space="preserve">Рисунок 35: Собственные значения матрицы </w:t>
            </w: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</m:oMath>
            <w:bookmarkEnd w:id="82"/>
          </w:p>
        </w:tc>
      </w:tr>
    </w:tbl>
    <w:p>
      <w:pPr>
        <w:pStyle w:val="TextBody"/>
        <w:rPr/>
      </w:pPr>
      <w:r>
        <w:rPr/>
        <w:t xml:space="preserve">Создайте диагональную матрицу из собственных значений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77950"/>
                  <wp:effectExtent l="0" t="0" r="0" b="0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 xml:space="preserve">Рисунок 36: Диагональная матрица из собственных значений матрицы </w:t>
            </w: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</m:oMath>
            <w:bookmarkEnd w:id="83"/>
          </w:p>
        </w:tc>
      </w:tr>
    </w:tbl>
    <w:p>
      <w:pPr>
        <w:pStyle w:val="TextBody"/>
        <w:rPr/>
      </w:pPr>
      <w:r>
        <w:rPr/>
        <w:t xml:space="preserve">Создайте нижнедиагональную матрицу из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24910" cy="1482090"/>
                  <wp:effectExtent l="0" t="0" r="0" b="0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10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 xml:space="preserve">Рисунок 37: Нижнедиагональная матрица из матрицы </w:t>
            </w: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</m:oMath>
            <w:bookmarkEnd w:id="84"/>
          </w:p>
        </w:tc>
      </w:tr>
    </w:tbl>
    <w:p>
      <w:pPr>
        <w:pStyle w:val="TextBody"/>
        <w:rPr/>
      </w:pPr>
      <w:r>
        <w:rPr/>
        <w:t>Оцените эффективность выполняемых операций.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11425"/>
                  <wp:effectExtent l="0" t="0" r="0" b="0"/>
                  <wp:docPr id="38" name="Image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6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38: Оценка эффективности выполняемых операций</w:t>
            </w:r>
            <w:bookmarkEnd w:id="86"/>
          </w:p>
        </w:tc>
      </w:tr>
    </w:tbl>
    <w:p>
      <w:pPr>
        <w:pStyle w:val="Heading3"/>
        <w:rPr/>
      </w:pPr>
      <w:r>
        <w:rPr/>
        <w:t>3.2.4 Линейные модели экономики</w:t>
      </w:r>
    </w:p>
    <w:p>
      <w:pPr>
        <w:pStyle w:val="FirstParagraph"/>
        <w:rPr/>
      </w:pPr>
      <w:r>
        <w:rPr/>
        <w:t>Линейная модель экономики может быть записана как СЛАУ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где элементы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и столбца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– неотрицательные числа. По своему смыслу в экономике элементы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и столбцов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</m:oMath>
      <w:r>
        <w:rPr/>
        <w:t xml:space="preserve"> не могут быть отрицательными числами.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Матрица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называется продуктивной, если решение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системы при любой неотрицательной правой части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имеет только неотрицательные элементы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. Используя это определение, проверьте, являются ли матрицы продуктивными.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7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785235"/>
                  <wp:effectExtent l="0" t="0" r="0" b="0"/>
                  <wp:docPr id="39" name="Image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8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39: Задание 1</w:t>
            </w:r>
            <w:bookmarkEnd w:id="88"/>
          </w:p>
        </w:tc>
      </w:tr>
    </w:tbl>
    <w:p>
      <w:pPr>
        <w:pStyle w:val="Compact"/>
        <w:numPr>
          <w:ilvl w:val="0"/>
          <w:numId w:val="20"/>
        </w:numPr>
        <w:rPr/>
      </w:pPr>
      <w:r>
        <w:rPr/>
        <w:t xml:space="preserve">Критерий продуктивности: матрица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является продуктивной тогда и только тогда, когда все элементы матрицы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</m:oMath>
      </m:oMathPara>
    </w:p>
    <w:p>
      <w:pPr>
        <w:pStyle w:val="FirstParagraph"/>
        <w:rPr/>
      </w:pPr>
      <w:r>
        <w:rPr/>
        <w:t>являются неотрицательными числами. Используя этот критерий, проверьте, являются ли матрицы продуктивными.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9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215640"/>
                  <wp:effectExtent l="0" t="0" r="0" b="0"/>
                  <wp:docPr id="40" name="Image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0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40: Задание 2</w:t>
            </w:r>
            <w:bookmarkEnd w:id="90"/>
          </w:p>
        </w:tc>
      </w:tr>
    </w:tbl>
    <w:p>
      <w:pPr>
        <w:pStyle w:val="Compact"/>
        <w:numPr>
          <w:ilvl w:val="0"/>
          <w:numId w:val="21"/>
        </w:numPr>
        <w:rPr/>
      </w:pPr>
      <w:r>
        <w:rPr/>
        <w:t xml:space="preserve">Спектральный критерий продуктивности: матрица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является продуктивной тогда и только тогда, когда все её собственные значения по модулю меньше 1. Используя этот критерий, проверьте, являются ли матрицы продуктивными.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1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22015"/>
                  <wp:effectExtent l="0" t="0" r="0" b="0"/>
                  <wp:docPr id="41" name="Image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2" w:name="выполнение-лабораторной-работы"/>
            <w:bookmarkStart w:id="93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41: Задание 3</w:t>
            </w:r>
            <w:bookmarkEnd w:id="92"/>
            <w:bookmarkEnd w:id="93"/>
          </w:p>
        </w:tc>
      </w:tr>
    </w:tbl>
    <w:p>
      <w:pPr>
        <w:pStyle w:val="Heading1"/>
        <w:rPr/>
      </w:pPr>
      <w:bookmarkStart w:id="94" w:name="__RefHeading___Toc757_3343537304"/>
      <w:bookmarkEnd w:id="94"/>
      <w:r>
        <w:rPr/>
        <w:t>4. Выводы</w:t>
      </w:r>
    </w:p>
    <w:p>
      <w:pPr>
        <w:pStyle w:val="FirstParagraph"/>
        <w:rPr/>
      </w:pPr>
      <w:r>
        <w:rPr/>
        <w:t>Изучены возможности специализированных пакетов Julia для выполнения и оценки эффективности операций над объектами линейной алгебры.</w:t>
      </w:r>
    </w:p>
    <w:p>
      <w:pPr>
        <w:pStyle w:val="Heading1"/>
        <w:rPr/>
      </w:pPr>
      <w:bookmarkStart w:id="95" w:name="__RefHeading___Toc759_3343537304"/>
      <w:bookmarkStart w:id="96" w:name="список-литературы"/>
      <w:bookmarkEnd w:id="95"/>
      <w:r>
        <w:rPr/>
        <w:t>Список литературы</w:t>
      </w:r>
    </w:p>
    <w:p>
      <w:pPr>
        <w:pStyle w:val="Bibliography"/>
        <w:spacing w:before="0" w:after="200"/>
        <w:rPr/>
      </w:pPr>
      <w:bookmarkStart w:id="97" w:name="refs"/>
      <w:bookmarkStart w:id="98" w:name="ref-julia_docs_1.5"/>
      <w:r>
        <w:rPr/>
        <w:t xml:space="preserve">1. </w:t>
        <w:tab/>
        <w:t xml:space="preserve">Julia Language Documentation. Julia 1.5 Documentation [Электронный ресурс]. 2020. URL: </w:t>
      </w:r>
      <w:hyperlink r:id="rId43">
        <w:r>
          <w:rPr>
            <w:rStyle w:val="InternetLink"/>
          </w:rPr>
          <w:t>https://docs.julialang.org/en/v1/</w:t>
        </w:r>
      </w:hyperlink>
      <w:r>
        <w:rPr/>
        <w:t>.</w:t>
      </w:r>
      <w:bookmarkEnd w:id="96"/>
      <w:bookmarkEnd w:id="97"/>
      <w:bookmarkEnd w:id="9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4"/>
    <w:lvlOverride w:ilvl="0">
      <w:startOverride w:val="2"/>
    </w:lvlOverride>
  </w:num>
  <w:num w:numId="16">
    <w:abstractNumId w:val="1"/>
    <w:lvlOverride w:ilvl="0">
      <w:startOverride w:val="1"/>
    </w:lvlOverride>
  </w:num>
  <w:num w:numId="17">
    <w:abstractNumId w:val="4"/>
    <w:lvlOverride w:ilvl="0">
      <w:startOverride w:val="2"/>
    </w:lvlOverride>
  </w:num>
  <w:num w:numId="18">
    <w:abstractNumId w:val="7"/>
    <w:lvlOverride w:ilvl="0">
      <w:startOverride w:val="3"/>
    </w:lvlOverride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7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hyperlink" Target="https://docs.julialang.org/en/v1/" TargetMode="Externa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24</Pages>
  <Words>960</Words>
  <Characters>6610</Characters>
  <CharactersWithSpaces>7467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2025-10-25T16:33:45Z</dcterms:created>
  <dc:creator>Александр Эдуардович Аскеров</dc:creator>
  <dc:description/>
  <dc:language>ru-RU</dc:language>
  <cp:lastModifiedBy/>
  <dcterms:modified xsi:type="dcterms:W3CDTF">2025-10-25T19:34:22Z</dcterms:modified>
  <cp:revision>1</cp:revision>
  <dc:subject/>
  <dc:title>Лабораторная работа №4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Линейная алгебра</vt:lpwstr>
  </property>
  <property fmtid="{D5CDD505-2E9C-101B-9397-08002B2CF9AE}" pid="16" name="toc-title">
    <vt:lpwstr>Содержание</vt:lpwstr>
  </property>
</Properties>
</file>