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0.png" ContentType="image/png"/>
  <Override PartName="/word/media/image29.png" ContentType="image/png"/>
  <Override PartName="/word/media/image11.png" ContentType="image/png"/>
  <Override PartName="/word/media/image6.png" ContentType="image/png"/>
  <Override PartName="/word/media/image36.png" ContentType="image/png"/>
  <Override PartName="/word/media/image12.png" ContentType="image/png"/>
  <Override PartName="/word/media/image7.png" ContentType="image/png"/>
  <Override PartName="/word/media/image37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0.png" ContentType="image/png"/>
  <Override PartName="/word/media/image35.png" ContentType="image/png"/>
  <Override PartName="/word/media/image5.png" ContentType="image/png"/>
  <Override PartName="/word/media/image28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Лабораторная работа №6</w:t>
      </w:r>
    </w:p>
    <w:p>
      <w:pPr>
        <w:pStyle w:val="Subtitle"/>
        <w:rPr/>
      </w:pPr>
      <w:r>
        <w:rPr/>
        <w:t>Решение моделей в непрерывном и дискретном времени</w:t>
      </w:r>
    </w:p>
    <w:p>
      <w:pPr>
        <w:pStyle w:val="Author"/>
        <w:rPr/>
      </w:pPr>
      <w:r>
        <w:rPr/>
        <w:t>Александр Эдуардович Аскеров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pacing w:lineRule="auto" w:line="259" w:before="240" w:after="80"/>
            <w:rPr>
              <w:rFonts w:ascii="Aptos Display" w:hAnsi="Aptos Display" w:eastAsia="" w:cs="" w:asciiTheme="majorHAnsi" w:cstheme="majorBidi" w:eastAsiaTheme="majorEastAsia" w:hAnsiTheme="majorHAnsi"/>
              <w:b w:val="false"/>
              <w:b w:val="false"/>
              <w:bCs w:val="false"/>
              <w:color w:val="365F91" w:themeColor="accent1" w:themeShade="bf"/>
            </w:rPr>
          </w:pPr>
          <w:r>
            <w:rPr>
              <w:rFonts w:eastAsia="" w:cs="" w:cstheme="majorBidi" w:eastAsiaTheme="majorEastAsia"/>
              <w:b w:val="false"/>
              <w:bCs w:val="false"/>
              <w:color w:val="365F91" w:themeColor="accent1" w:themeShade="bf"/>
            </w:rPr>
            <w:t>Содержание</w:t>
          </w:r>
        </w:p>
        <w:p>
          <w:pPr>
            <w:pStyle w:val="Contents1"/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1814_3361612664">
            <w:r>
              <w:rPr>
                <w:webHidden/>
                <w:rStyle w:val="IndexLink"/>
              </w:rPr>
              <w:t>1. Цель работы</w:t>
              <w:tab/>
              <w:t>1</w:t>
            </w:r>
          </w:hyperlink>
        </w:p>
        <w:p>
          <w:pPr>
            <w:pStyle w:val="Contents1"/>
            <w:rPr/>
          </w:pPr>
          <w:hyperlink w:anchor="__RefHeading___Toc1816_3361612664">
            <w:r>
              <w:rPr>
                <w:webHidden/>
                <w:rStyle w:val="IndexLink"/>
              </w:rPr>
              <w:t>2. Задание</w:t>
              <w:tab/>
              <w:t>1</w:t>
            </w:r>
          </w:hyperlink>
        </w:p>
        <w:p>
          <w:pPr>
            <w:pStyle w:val="Contents1"/>
            <w:rPr/>
          </w:pPr>
          <w:hyperlink w:anchor="__RefHeading___Toc1818_3361612664">
            <w:r>
              <w:rPr>
                <w:webHidden/>
                <w:rStyle w:val="IndexLink"/>
              </w:rPr>
              <w:t>3. Выполнение лабораторной работы</w:t>
              <w:tab/>
              <w:t>1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820_3361612664">
            <w:r>
              <w:rPr>
                <w:webHidden/>
                <w:rStyle w:val="IndexLink"/>
              </w:rPr>
              <w:t>3.1 Модель экспоненциального роста</w:t>
              <w:tab/>
              <w:t>2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822_3361612664">
            <w:r>
              <w:rPr>
                <w:webHidden/>
                <w:rStyle w:val="IndexLink"/>
              </w:rPr>
              <w:t>3.2 Система Лоренца</w:t>
              <w:tab/>
              <w:t>4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824_3361612664">
            <w:r>
              <w:rPr>
                <w:webHidden/>
                <w:rStyle w:val="IndexLink"/>
              </w:rPr>
              <w:t>3.3 Модель Лотки–Вольтерры</w:t>
              <w:tab/>
              <w:t>6</w:t>
            </w:r>
          </w:hyperlink>
        </w:p>
        <w:p>
          <w:pPr>
            <w:pStyle w:val="Contents2"/>
            <w:tabs>
              <w:tab w:val="clear" w:pos="9077"/>
              <w:tab w:val="right" w:pos="9360" w:leader="dot"/>
            </w:tabs>
            <w:rPr/>
          </w:pPr>
          <w:hyperlink w:anchor="__RefHeading___Toc1826_3361612664">
            <w:r>
              <w:rPr>
                <w:webHidden/>
                <w:rStyle w:val="IndexLink"/>
              </w:rPr>
              <w:t>3.4 Задания для самостоятельного выполнения</w:t>
              <w:tab/>
              <w:t>8</w:t>
            </w:r>
          </w:hyperlink>
        </w:p>
        <w:p>
          <w:pPr>
            <w:pStyle w:val="Contents1"/>
            <w:rPr/>
          </w:pPr>
          <w:hyperlink w:anchor="__RefHeading___Toc1828_3361612664">
            <w:r>
              <w:rPr>
                <w:webHidden/>
                <w:rStyle w:val="IndexLink"/>
              </w:rPr>
              <w:t>4. Выводы</w:t>
              <w:tab/>
              <w:t>23</w:t>
            </w:r>
          </w:hyperlink>
        </w:p>
        <w:p>
          <w:pPr>
            <w:pStyle w:val="Contents1"/>
            <w:rPr/>
          </w:pPr>
          <w:hyperlink w:anchor="__RefHeading___Toc1830_3361612664">
            <w:r>
              <w:rPr>
                <w:webHidden/>
                <w:rStyle w:val="IndexLink"/>
              </w:rPr>
              <w:t>Список литературы</w:t>
              <w:tab/>
              <w:t>24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1814_3361612664"/>
      <w:bookmarkStart w:id="1" w:name="цель-работы"/>
      <w:bookmarkEnd w:id="0"/>
      <w:r>
        <w:rPr/>
        <w:t>1. Цель работы</w:t>
      </w:r>
    </w:p>
    <w:p>
      <w:pPr>
        <w:pStyle w:val="FirstParagraph"/>
        <w:rPr/>
      </w:pPr>
      <w:bookmarkStart w:id="2" w:name="цель-работы"/>
      <w:r>
        <w:rPr/>
        <w:t>Основной целью работы является освоение специализированных пакетов для решения задач в непрерывном и дискретном времени.</w:t>
      </w:r>
      <w:bookmarkEnd w:id="2"/>
    </w:p>
    <w:p>
      <w:pPr>
        <w:pStyle w:val="Heading1"/>
        <w:rPr/>
      </w:pPr>
      <w:bookmarkStart w:id="3" w:name="__RefHeading___Toc1816_3361612664"/>
      <w:bookmarkStart w:id="4" w:name="задание"/>
      <w:bookmarkEnd w:id="3"/>
      <w:r>
        <w:rPr/>
        <w:t>2. Задание</w:t>
      </w:r>
    </w:p>
    <w:p>
      <w:pPr>
        <w:pStyle w:val="Normal"/>
        <w:numPr>
          <w:ilvl w:val="0"/>
          <w:numId w:val="3"/>
        </w:numPr>
        <w:rPr/>
      </w:pPr>
      <w:r>
        <w:rPr/>
        <w:t>Используя Jupyter Lab, повторите примеры из раздела 6.2.</w:t>
      </w:r>
    </w:p>
    <w:p>
      <w:pPr>
        <w:pStyle w:val="Normal"/>
        <w:numPr>
          <w:ilvl w:val="0"/>
          <w:numId w:val="1"/>
        </w:numPr>
        <w:rPr/>
      </w:pPr>
      <w:bookmarkStart w:id="5" w:name="задание"/>
      <w:r>
        <w:rPr/>
        <w:t>Выполните задания для самостоятельной работы.</w:t>
      </w:r>
      <w:bookmarkEnd w:id="5"/>
    </w:p>
    <w:p>
      <w:pPr>
        <w:pStyle w:val="Heading1"/>
        <w:rPr/>
      </w:pPr>
      <w:bookmarkStart w:id="6" w:name="__RefHeading___Toc1818_3361612664"/>
      <w:bookmarkStart w:id="7" w:name="выполнение-лабораторной-работы"/>
      <w:bookmarkEnd w:id="6"/>
      <w:r>
        <w:rPr/>
        <w:t>3. Выполнение лабораторной работы</w:t>
      </w:r>
    </w:p>
    <w:p>
      <w:pPr>
        <w:pStyle w:val="FirstParagraph"/>
        <w:rPr/>
      </w:pPr>
      <w:r>
        <w:rPr/>
        <w:t>Повторим примеры [1].</w:t>
      </w:r>
    </w:p>
    <w:p>
      <w:pPr>
        <w:pStyle w:val="Heading2"/>
        <w:rPr/>
      </w:pPr>
      <w:bookmarkStart w:id="8" w:name="__RefHeading___Toc1820_3361612664"/>
      <w:bookmarkStart w:id="9" w:name="модель-экспоненциального-роста"/>
      <w:bookmarkEnd w:id="8"/>
      <w:r>
        <w:rPr/>
        <w:t>3.1 Модель экспоненциального роста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0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79040"/>
                  <wp:effectExtent l="0" t="0" r="0" b="0"/>
                  <wp:docPr id="1" name="Pictur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1" w:name="fig-00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1: Модель экспоненциального роста 1</w:t>
            </w:r>
            <w:bookmarkEnd w:id="11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2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132455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3" w:name="fig-00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2: Модель экспоненциального роста 2</w:t>
            </w:r>
            <w:bookmarkEnd w:id="13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4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437890"/>
                  <wp:effectExtent l="0" t="0" r="0" b="0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3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5" w:name="fig-00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3: Модель экспоненциального роста 3</w:t>
            </w:r>
            <w:bookmarkEnd w:id="1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6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480945"/>
                  <wp:effectExtent l="0" t="0" r="0" b="0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7" w:name="fig-00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4: Модель экспоненциального роста 4</w:t>
            </w:r>
            <w:bookmarkEnd w:id="17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8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226435"/>
                  <wp:effectExtent l="0" t="0" r="0" b="0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19" w:name="модель-экспоненциального-роста"/>
            <w:bookmarkStart w:id="20" w:name="fig-00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5: Модель экспоненциального роста 5</w:t>
            </w:r>
            <w:bookmarkEnd w:id="19"/>
            <w:bookmarkEnd w:id="20"/>
          </w:p>
        </w:tc>
      </w:tr>
    </w:tbl>
    <w:p>
      <w:pPr>
        <w:pStyle w:val="Heading2"/>
        <w:rPr/>
      </w:pPr>
      <w:bookmarkStart w:id="21" w:name="__RefHeading___Toc1822_3361612664"/>
      <w:bookmarkEnd w:id="21"/>
      <w:r>
        <w:rPr/>
        <w:t>3.2 Система Лоренца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2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300095"/>
                  <wp:effectExtent l="0" t="0" r="0" b="0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3" w:name="fig-00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6: Система Лоренца 1</w:t>
            </w:r>
            <w:bookmarkEnd w:id="23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4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855085"/>
                  <wp:effectExtent l="0" t="0" r="0" b="0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5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5" w:name="fig-00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7: Система Лоренца 2</w:t>
            </w:r>
            <w:bookmarkEnd w:id="2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6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011170"/>
                  <wp:effectExtent l="0" t="0" r="0" b="0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7" w:name="fig-00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8: Система Лоренца 3</w:t>
            </w:r>
            <w:bookmarkEnd w:id="27"/>
          </w:p>
        </w:tc>
      </w:tr>
    </w:tbl>
    <w:p>
      <w:pPr>
        <w:pStyle w:val="Heading2"/>
        <w:rPr/>
      </w:pPr>
      <w:bookmarkStart w:id="28" w:name="__RefHeading___Toc1824_3361612664"/>
      <w:bookmarkEnd w:id="28"/>
      <w:r>
        <w:rPr/>
        <w:t>3.3 Модель Лотки–Вольтерры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29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383915"/>
                  <wp:effectExtent l="0" t="0" r="0" b="0"/>
                  <wp:docPr id="9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83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0" w:name="fig-00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9: Модель Лотки–Вольтерры 1</w:t>
            </w:r>
            <w:bookmarkEnd w:id="30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1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423920"/>
                  <wp:effectExtent l="0" t="0" r="0" b="0"/>
                  <wp:docPr id="10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23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2" w:name="fig-01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10: Модель Лотки–Вольтерры 2</w:t>
            </w:r>
            <w:bookmarkEnd w:id="32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3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507105"/>
                  <wp:effectExtent l="0" t="0" r="0" b="0"/>
                  <wp:docPr id="11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0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4" w:name="fig-01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11: Модель Лотки–Вольтерры 3</w:t>
            </w:r>
            <w:bookmarkEnd w:id="34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5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918460"/>
                  <wp:effectExtent l="0" t="0" r="0" b="0"/>
                  <wp:docPr id="12" name="Image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6" w:name="fig-01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12: Модель Лотки–Вольтерры 4</w:t>
            </w:r>
            <w:bookmarkEnd w:id="36"/>
          </w:p>
        </w:tc>
      </w:tr>
    </w:tbl>
    <w:p>
      <w:pPr>
        <w:pStyle w:val="Heading2"/>
        <w:rPr/>
      </w:pPr>
      <w:bookmarkStart w:id="37" w:name="__RefHeading___Toc1826_3361612664"/>
      <w:bookmarkEnd w:id="37"/>
      <w:r>
        <w:rPr/>
        <w:t>3.4 Задания для самостоятельного выполнения</w:t>
      </w:r>
    </w:p>
    <w:p>
      <w:pPr>
        <w:pStyle w:val="FirstParagraph"/>
        <w:rPr/>
      </w:pPr>
      <w:r>
        <w:rPr/>
        <w:t>№</w:t>
      </w:r>
      <w:r>
        <w:rPr/>
        <w:t>1.</w:t>
      </w:r>
    </w:p>
    <w:p>
      <w:pPr>
        <w:pStyle w:val="TextBody"/>
        <w:rPr/>
      </w:pPr>
      <w:r>
        <w:rPr/>
        <w:t>Реализуем и проанализируем модель роста численности изолированной популяции (модель Мальтуса):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˙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x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a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b</m:t>
          </m:r>
          <m:r>
            <w:rPr>
              <w:rFonts w:ascii="Cambria Math" w:hAnsi="Cambria Math"/>
            </w:rPr>
            <m:t xml:space="preserve">–</m:t>
          </m:r>
          <m:r>
            <w:rPr>
              <w:rFonts w:ascii="Cambria Math" w:hAnsi="Cambria Math"/>
            </w:rPr>
            <m:t xml:space="preserve">c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x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</m:oMath>
      <w:r>
        <w:rPr/>
        <w:t xml:space="preserve"> – численность изолированной популяции в момент времени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</m:t>
        </m:r>
      </m:oMath>
      <w:r>
        <w:rPr/>
        <w:t xml:space="preserve">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</m:oMath>
      <w:r>
        <w:rPr/>
        <w:t xml:space="preserve"> – коэффициент роста популяции,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b</m:t>
        </m:r>
      </m:oMath>
      <w:r>
        <w:rPr/>
        <w:t xml:space="preserve"> – коэффициент рождаемости,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c</m:t>
        </m:r>
      </m:oMath>
      <w:r>
        <w:rPr/>
        <w:t xml:space="preserve"> – коэффициент смертности. Построим соответствующие графики (в том числе с анимацией).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8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306445"/>
                  <wp:effectExtent l="0" t="0" r="0" b="0"/>
                  <wp:docPr id="13" name="Image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0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39" w:name="fig-01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13: Решение</w:t>
            </w:r>
            <w:bookmarkEnd w:id="39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0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226435"/>
                  <wp:effectExtent l="0" t="0" r="0" b="0"/>
                  <wp:docPr id="14" name="Image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2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1" w:name="fig-01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14: График</w:t>
            </w:r>
            <w:bookmarkEnd w:id="41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2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577590"/>
                  <wp:effectExtent l="0" t="0" r="0" b="0"/>
                  <wp:docPr id="15" name="Image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77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3" w:name="fig-01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15: Анимация</w:t>
            </w:r>
            <w:bookmarkEnd w:id="43"/>
          </w:p>
        </w:tc>
      </w:tr>
    </w:tbl>
    <w:p>
      <w:pPr>
        <w:pStyle w:val="TextBody"/>
        <w:rPr/>
      </w:pPr>
      <w:r>
        <w:rPr/>
        <w:t>№</w:t>
      </w:r>
      <w:r>
        <w:rPr/>
        <w:t>2.</w:t>
      </w:r>
    </w:p>
    <w:p>
      <w:pPr>
        <w:pStyle w:val="TextBody"/>
        <w:rPr/>
      </w:pPr>
      <w:r>
        <w:rPr/>
        <w:t>Реализуем и проанализируем логистическую модель роста популяции: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˙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x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k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k</m:t>
          </m:r>
          <m:r>
            <w:rPr>
              <w:rFonts w:ascii="Cambria Math" w:hAnsi="Cambria Math"/>
            </w:rPr>
            <m:t xml:space="preserve">&gt;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 xml:space="preserve">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</m:oMath>
      <w:r>
        <w:rPr/>
        <w:t xml:space="preserve"> – коэффициент роста популяции,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k</m:t>
        </m:r>
      </m:oMath>
      <w:r>
        <w:rPr/>
        <w:t xml:space="preserve"> – потенциальная ёмкость экологической системы (предельное значение численности популяции). Построим соответствующие графики (в том числе с анимацией).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4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263265" cy="3070225"/>
                  <wp:effectExtent l="0" t="0" r="0" b="0"/>
                  <wp:docPr id="16" name="Image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3265" cy="307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5" w:name="fig-01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16: Решение</w:t>
            </w:r>
            <w:bookmarkEnd w:id="4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6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348990"/>
                  <wp:effectExtent l="0" t="0" r="0" b="0"/>
                  <wp:docPr id="17" name="Image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48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7" w:name="fig-01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17: График</w:t>
            </w:r>
            <w:bookmarkEnd w:id="47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8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624580"/>
                  <wp:effectExtent l="0" t="0" r="0" b="0"/>
                  <wp:docPr id="18" name="Image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2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49" w:name="fig-01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18: Анимация</w:t>
            </w:r>
            <w:bookmarkEnd w:id="49"/>
          </w:p>
        </w:tc>
      </w:tr>
    </w:tbl>
    <w:p>
      <w:pPr>
        <w:pStyle w:val="TextBody"/>
        <w:rPr/>
      </w:pPr>
      <w:r>
        <w:rPr/>
        <w:t>№</w:t>
      </w:r>
      <w:r>
        <w:rPr/>
        <w:t>3.</w:t>
      </w:r>
    </w:p>
    <w:p>
      <w:pPr>
        <w:pStyle w:val="TextBody"/>
        <w:rPr/>
      </w:pPr>
      <w:r>
        <w:rPr/>
        <w:t>Реализуем и проанализируем логистическую модель эпидемии Кермака–Маккендрика (SIR-модель):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"/>
            </m:dPr>
            <m:e>
              <m:m>
                <m:mr>
                  <m:e>
                    <m:acc>
                      <m:accPr>
                        <m:chr m:val="˙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β</m:t>
                    </m:r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acc>
                      <m:accPr>
                        <m:chr m:val="˙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β</m:t>
                    </m:r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s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ν</m:t>
                    </m:r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acc>
                      <m:accPr>
                        <m:chr m:val="˙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ν</m:t>
                    </m:r>
                    <m:r>
                      <w:rPr>
                        <w:rFonts w:ascii="Cambria Math" w:hAnsi="Cambria Math"/>
                      </w:rPr>
                      <m:t xml:space="preserve">i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 xml:space="preserve">где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</m:oMath>
      <w:r>
        <w:rPr/>
        <w:t xml:space="preserve"> – численность восприимчивых к болезни индивидов в момент времени t,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i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</m:oMath>
      <w:r>
        <w:rPr/>
        <w:t xml:space="preserve"> – численность инфицированных индивидов в момент времени t,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r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</m:t>
            </m:r>
          </m:e>
        </m:d>
      </m:oMath>
      <w:r>
        <w:rPr/>
        <w:t xml:space="preserve"> – численность переболевших индивидов в момент времени t,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N</m:t>
        </m:r>
      </m:oMath>
      <w:r>
        <w:rPr/>
        <w:t xml:space="preserve"> – это сумма этих трёх,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</m:oMath>
      <w:r>
        <w:rPr/>
        <w:t xml:space="preserve"> – коэффициент интенсивности контактов индивидов с последующим инфицированием,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ν</m:t>
        </m:r>
      </m:oMath>
      <w:r>
        <w:rPr/>
        <w:t xml:space="preserve"> – коэффициент интенсивности выздоровления соответственно инфицированных индивидов. Численность популяции считается постоянной, т.е. </w:t>
      </w:r>
      <w:r>
        <w:rPr/>
      </w:r>
      <m:oMath xmlns:m="http://schemas.openxmlformats.org/officeDocument/2006/math">
        <m:acc>
          <m:accPr>
            <m:chr m:val="˙"/>
          </m:accPr>
          <m:e>
            <m:r>
              <w:rPr>
                <w:rFonts w:ascii="Cambria Math" w:hAnsi="Cambria Math"/>
              </w:rPr>
              <m:t xml:space="preserve">s</m:t>
            </m:r>
          </m:e>
        </m:acc>
        <m:r>
          <w:rPr>
            <w:rFonts w:ascii="Cambria Math" w:hAnsi="Cambria Math"/>
          </w:rPr>
          <m:t xml:space="preserve">+</m:t>
        </m:r>
        <m:acc>
          <m:accPr>
            <m:chr m:val="˙"/>
          </m:accPr>
          <m:e>
            <m:r>
              <w:rPr>
                <w:rFonts w:ascii="Cambria Math" w:hAnsi="Cambria Math"/>
              </w:rPr>
              <m:t xml:space="preserve">i</m:t>
            </m:r>
          </m:e>
        </m:acc>
        <m:r>
          <w:rPr>
            <w:rFonts w:ascii="Cambria Math" w:hAnsi="Cambria Math"/>
          </w:rPr>
          <m:t xml:space="preserve">+</m:t>
        </m:r>
        <m:acc>
          <m:accPr>
            <m:chr m:val="˙"/>
          </m:accPr>
          <m:e>
            <m:r>
              <w:rPr>
                <w:rFonts w:ascii="Cambria Math" w:hAnsi="Cambria Math"/>
              </w:rPr>
              <m:t xml:space="preserve">r</m:t>
            </m:r>
          </m:e>
        </m:acc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</m:t>
        </m:r>
      </m:oMath>
      <w:r>
        <w:rPr/>
        <w:t>. Построим соответствующие графики (в том числе с анимацией).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0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495040"/>
                  <wp:effectExtent l="0" t="0" r="0" b="0"/>
                  <wp:docPr id="19" name="Image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1" w:name="fig-01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19: Решение</w:t>
            </w:r>
            <w:bookmarkEnd w:id="51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2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93035"/>
                  <wp:effectExtent l="0" t="0" r="0" b="0"/>
                  <wp:docPr id="20" name="Image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3" w:name="fig-02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20: График</w:t>
            </w:r>
            <w:bookmarkEnd w:id="53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4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234815"/>
                  <wp:effectExtent l="0" t="0" r="0" b="0"/>
                  <wp:docPr id="21" name="Image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3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5" w:name="fig-02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21: Анимация</w:t>
            </w:r>
            <w:bookmarkEnd w:id="55"/>
          </w:p>
        </w:tc>
      </w:tr>
    </w:tbl>
    <w:p>
      <w:pPr>
        <w:pStyle w:val="TextBody"/>
        <w:rPr/>
      </w:pPr>
      <w:r>
        <w:rPr/>
        <w:t>№</w:t>
      </w:r>
      <w:r>
        <w:rPr/>
        <w:t>4.</w:t>
      </w:r>
    </w:p>
    <w:p>
      <w:pPr>
        <w:pStyle w:val="TextBody"/>
        <w:rPr/>
      </w:pPr>
      <w:r>
        <w:rPr/>
        <w:t>Как расширение модели SIR (Susceptible-Infected-Removed) по результатам эпидемии испанки была предложена модель SEIR (Susceptible-Exposed-Infected-Removed).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"/>
            </m:dPr>
            <m:e>
              <m:m>
                <m:mr>
                  <m:e>
                    <m:acc>
                      <m:accPr>
                        <m:chr m:val="˙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</m:acc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β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s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i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acc>
                      <m:accPr>
                        <m:chr m:val="˙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e</m:t>
                        </m:r>
                      </m:e>
                    </m:acc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=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β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s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i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δ</m:t>
                    </m:r>
                    <m:r>
                      <w:rPr>
                        <w:rFonts w:ascii="Cambria Math" w:hAnsi="Cambria Math"/>
                      </w:rPr>
                      <m:t xml:space="preserve">e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acc>
                      <m:accPr>
                        <m:chr m:val="˙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e>
                    </m:acc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δ</m:t>
                    </m:r>
                    <m:r>
                      <w:rPr>
                        <w:rFonts w:ascii="Cambria Math" w:hAnsi="Cambria Math"/>
                      </w:rPr>
                      <m:t xml:space="preserve">e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γ</m:t>
                    </m:r>
                    <m:r>
                      <w:rPr>
                        <w:rFonts w:ascii="Cambria Math" w:hAnsi="Cambria Math"/>
                      </w:rPr>
                      <m:t xml:space="preserve">i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acc>
                      <m:accPr>
                        <m:chr m:val="˙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r</m:t>
                        </m:r>
                      </m:e>
                    </m:acc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γ</m:t>
                    </m:r>
                    <m:r>
                      <w:rPr>
                        <w:rFonts w:ascii="Cambria Math" w:hAnsi="Cambria Math"/>
                      </w:rPr>
                      <m:t xml:space="preserve">i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>Размер популяции сохраняется: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w:rPr>
              <w:rFonts w:ascii="Cambria Math" w:hAnsi="Cambria Math"/>
            </w:rPr>
            <m:t xml:space="preserve">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e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i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r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N</m:t>
          </m:r>
        </m:oMath>
      </m:oMathPara>
    </w:p>
    <w:p>
      <w:pPr>
        <w:pStyle w:val="FirstParagraph"/>
        <w:rPr/>
      </w:pPr>
      <w:r>
        <w:rPr/>
        <w:t>Исследуем и сравним с SIR.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6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522470"/>
                  <wp:effectExtent l="0" t="0" r="0" b="0"/>
                  <wp:docPr id="22" name="Image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2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7" w:name="fig-02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22: Решение</w:t>
            </w:r>
            <w:bookmarkEnd w:id="57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8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94305"/>
                  <wp:effectExtent l="0" t="0" r="0" b="0"/>
                  <wp:docPr id="23" name="Image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4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59" w:name="fig-02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23: График</w:t>
            </w:r>
            <w:bookmarkEnd w:id="59"/>
          </w:p>
        </w:tc>
      </w:tr>
    </w:tbl>
    <w:p>
      <w:pPr>
        <w:pStyle w:val="TextBody"/>
        <w:rPr/>
      </w:pPr>
      <w:r>
        <w:rPr/>
        <w:t>№</w:t>
      </w:r>
      <w:r>
        <w:rPr/>
        <w:t>5.</w:t>
      </w:r>
    </w:p>
    <w:p>
      <w:pPr>
        <w:pStyle w:val="TextBody"/>
        <w:rPr/>
      </w:pPr>
      <w:r>
        <w:rPr/>
        <w:t>Для дискретной модели Лотки–Вольтерры: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"/>
            </m:dPr>
            <m:e>
              <m:m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a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d>
                          <m:dPr>
                            <m:begChr m:val="("/>
                            <m:endChr m:val=")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t</m:t>
                            </m:r>
                          </m:e>
                        </m:d>
                      </m:e>
                    </m:d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c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d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.</m:t>
                    </m:r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 xml:space="preserve">с начальными данными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a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c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  <m:r>
          <w:rPr>
            <w:rFonts w:ascii="Cambria Math" w:hAnsi="Cambria Math"/>
          </w:rPr>
          <m:t xml:space="preserve">,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5</m:t>
        </m:r>
      </m:oMath>
      <w:r>
        <w:rPr/>
        <w:t xml:space="preserve"> найдём точку равновесия. Получим и сравним аналитическое и численное решения. Численное решение изобразим на фазовом портрете.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0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4312920"/>
                  <wp:effectExtent l="0" t="0" r="0" b="0"/>
                  <wp:docPr id="24" name="Image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1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1" w:name="fig-02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24: График</w:t>
            </w:r>
            <w:bookmarkEnd w:id="61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2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800350"/>
                  <wp:effectExtent l="0" t="0" r="0" b="0"/>
                  <wp:docPr id="25" name="Image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3" w:name="fig-02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25: Фазовый портрет</w:t>
            </w:r>
            <w:bookmarkEnd w:id="63"/>
          </w:p>
        </w:tc>
      </w:tr>
    </w:tbl>
    <w:p>
      <w:pPr>
        <w:pStyle w:val="TextBody"/>
        <w:rPr/>
      </w:pPr>
      <w:r>
        <w:rPr/>
        <w:t>№</w:t>
      </w:r>
      <w:r>
        <w:rPr/>
        <w:t>6.</w:t>
      </w:r>
    </w:p>
    <w:p>
      <w:pPr>
        <w:pStyle w:val="TextBody"/>
        <w:rPr/>
      </w:pPr>
      <w:r>
        <w:rPr/>
        <w:t>Реализуем на языке Julia модель отбора на основе конкурентных отношений: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d>
            <m:dPr>
              <m:begChr m:val="{"/>
              <m:endChr m:val=""/>
            </m:dPr>
            <m:e>
              <m:m>
                <m:mr>
                  <m:e>
                    <m:acc>
                      <m:accPr>
                        <m:chr m:val="˙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α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β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  <m:mr>
                  <m:e>
                    <m:acc>
                      <m:accPr>
                        <m:chr m:val="˙"/>
                      </m:accPr>
                      <m:e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e>
                    </m:acc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α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β</m:t>
                    </m:r>
                    <m:r>
                      <w:rPr>
                        <w:rFonts w:ascii="Cambria Math" w:hAnsi="Cambria Math"/>
                      </w:rPr>
                      <m:t xml:space="preserve">x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  <m:r>
                      <w:rPr>
                        <w:rFonts w:ascii="Cambria Math" w:hAnsi="Cambria Math"/>
                      </w:rPr>
                      <m:t xml:space="preserve">,</m:t>
                    </m:r>
                  </m:e>
                </m:mr>
              </m:m>
            </m:e>
          </m:d>
        </m:oMath>
      </m:oMathPara>
    </w:p>
    <w:p>
      <w:pPr>
        <w:pStyle w:val="FirstParagraph"/>
        <w:rPr/>
      </w:pPr>
      <w:r>
        <w:rPr/>
        <w:t>Построим соответствующие графики (в том числе с анимацией) и фазовый портрет.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4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29535"/>
                  <wp:effectExtent l="0" t="0" r="0" b="0"/>
                  <wp:docPr id="26" name="Image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9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5" w:name="fig-02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26: Решение</w:t>
            </w:r>
            <w:bookmarkEnd w:id="6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6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00020"/>
                  <wp:effectExtent l="0" t="0" r="0" b="0"/>
                  <wp:docPr id="27" name="Image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7" w:name="fig-02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27: График</w:t>
            </w:r>
            <w:bookmarkEnd w:id="67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8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06370"/>
                  <wp:effectExtent l="0" t="0" r="0" b="0"/>
                  <wp:docPr id="28" name="Image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69" w:name="fig-028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28: Фазовый портрет</w:t>
            </w:r>
            <w:bookmarkEnd w:id="69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0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87015"/>
                  <wp:effectExtent l="0" t="0" r="0" b="0"/>
                  <wp:docPr id="29" name="Image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8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1" w:name="fig-029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29: Анимация</w:t>
            </w:r>
            <w:bookmarkEnd w:id="71"/>
          </w:p>
        </w:tc>
      </w:tr>
    </w:tbl>
    <w:p>
      <w:pPr>
        <w:pStyle w:val="TextBody"/>
        <w:rPr/>
      </w:pPr>
      <w:r>
        <w:rPr/>
        <w:t>№</w:t>
      </w:r>
      <w:r>
        <w:rPr/>
        <w:t>7.</w:t>
      </w:r>
    </w:p>
    <w:p>
      <w:pPr>
        <w:pStyle w:val="TextBody"/>
        <w:rPr/>
      </w:pPr>
      <w:r>
        <w:rPr/>
        <w:t>Реализуем на языке Julia модель консервативного гармонического осциллятора: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¨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ω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,</m:t>
          </m:r>
          <m:acc>
            <m:accPr>
              <m:chr m:val="˙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,</m:t>
          </m:r>
        </m:oMath>
      </m:oMathPara>
    </w:p>
    <w:p>
      <w:pPr>
        <w:pStyle w:val="FirstParagraph"/>
        <w:rPr/>
      </w:pPr>
      <w:r>
        <w:rPr/>
        <w:t>где _0 – циклическая частота. Построим соответствующие графики (в том числе с анимацией) и фазовый портрет.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2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3502025"/>
                  <wp:effectExtent l="0" t="0" r="0" b="0"/>
                  <wp:docPr id="30" name="Image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0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3" w:name="fig-030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30: Решение</w:t>
            </w:r>
            <w:bookmarkEnd w:id="73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4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10180"/>
                  <wp:effectExtent l="0" t="0" r="0" b="0"/>
                  <wp:docPr id="31" name="Image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5" w:name="fig-031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31: График</w:t>
            </w:r>
            <w:bookmarkEnd w:id="7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6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82240"/>
                  <wp:effectExtent l="0" t="0" r="0" b="0"/>
                  <wp:docPr id="32" name="Image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2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7" w:name="fig-032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32: Фазовый портрет</w:t>
            </w:r>
            <w:bookmarkEnd w:id="77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8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693035"/>
                  <wp:effectExtent l="0" t="0" r="0" b="0"/>
                  <wp:docPr id="33" name="Image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9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79" w:name="fig-033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33: Анимация</w:t>
            </w:r>
            <w:bookmarkEnd w:id="79"/>
          </w:p>
        </w:tc>
      </w:tr>
    </w:tbl>
    <w:p>
      <w:pPr>
        <w:pStyle w:val="TextBody"/>
        <w:rPr/>
      </w:pPr>
      <w:r>
        <w:rPr/>
        <w:t>№</w:t>
      </w:r>
      <w:r>
        <w:rPr/>
        <w:t>8.</w:t>
      </w:r>
    </w:p>
    <w:p>
      <w:pPr>
        <w:pStyle w:val="TextBody"/>
        <w:rPr/>
      </w:pPr>
      <w:r>
        <w:rPr/>
        <w:t>Реализуем на языке Julia модель свободных колебаний гармонического осциллятора:</w:t>
      </w:r>
    </w:p>
    <w:p>
      <w:pPr>
        <w:pStyle w:val="TextBody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acc>
            <m:accPr>
              <m:chr m:val="¨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2</m:t>
          </m:r>
          <m:r>
            <w:rPr>
              <w:rFonts w:ascii="Cambria Math" w:hAnsi="Cambria Math"/>
            </w:rPr>
            <m:t xml:space="preserve">γ</m:t>
          </m:r>
          <m:acc>
            <m:accPr>
              <m:chr m:val="˙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r>
            <w:rPr>
              <w:rFonts w:ascii="Cambria Math" w:hAnsi="Cambria Math"/>
            </w:rPr>
            <m:t xml:space="preserve">+</m:t>
          </m:r>
          <m:sSubSup>
            <m:e>
              <m:r>
                <w:rPr>
                  <w:rFonts w:ascii="Cambria Math" w:hAnsi="Cambria Math"/>
                </w:rPr>
                <m:t xml:space="preserve">ω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2</m:t>
              </m:r>
            </m:sup>
          </m:sSubSup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x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x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,</m:t>
          </m:r>
          <m:acc>
            <m:accPr>
              <m:chr m:val="˙"/>
            </m:accPr>
            <m:e>
              <m:r>
                <w:rPr>
                  <w:rFonts w:ascii="Cambria Math" w:hAnsi="Cambria Math"/>
                </w:rPr>
                <m:t xml:space="preserve">x</m:t>
              </m:r>
            </m:e>
          </m:acc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y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pStyle w:val="FirstParagraph"/>
        <w:rPr/>
      </w:pPr>
      <w:r>
        <w:rPr/>
        <w:t>где _0 – циклическая частота, – параметр, характеризующий потери энергии. Построим соответствующие графики (в том числе с анимацией) и фазовый портрет.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0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831465"/>
                  <wp:effectExtent l="0" t="0" r="0" b="0"/>
                  <wp:docPr id="34" name="Image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1" w:name="fig-034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34: Решение</w:t>
            </w:r>
            <w:bookmarkEnd w:id="81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2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855595"/>
                  <wp:effectExtent l="0" t="0" r="0" b="0"/>
                  <wp:docPr id="35" name="Image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3" w:name="fig-035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35: График</w:t>
            </w:r>
            <w:bookmarkEnd w:id="83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4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733675"/>
                  <wp:effectExtent l="0" t="0" r="0" b="0"/>
                  <wp:docPr id="36" name="Image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5" w:name="fig-036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36: Фазовый портрет</w:t>
            </w:r>
            <w:bookmarkEnd w:id="85"/>
          </w:p>
        </w:tc>
      </w:tr>
    </w:tbl>
    <w:p>
      <w:pPr>
        <w:pStyle w:val="TextBody"/>
        <w:rPr/>
      </w:pPr>
      <w:r>
        <w:rPr/>
        <w:t xml:space="preserve"> 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widowControl/>
              <w:spacing w:before="36" w:after="36"/>
              <w:jc w:val="center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6" w:name="fig-03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drawing>
                <wp:inline distT="0" distB="0" distL="0" distR="0">
                  <wp:extent cx="3733800" cy="2803525"/>
                  <wp:effectExtent l="0" t="0" r="0" b="0"/>
                  <wp:docPr id="37" name="Image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120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ru-RU" w:eastAsia="en-US" w:bidi="ar-SA"/>
              </w:rPr>
            </w:pPr>
            <w:bookmarkStart w:id="87" w:name="выполнение-лабораторной-работы"/>
            <w:bookmarkStart w:id="88" w:name="fig-037"/>
            <w:r>
              <w:rPr>
                <w:rFonts w:eastAsia="Aptos" w:cs=""/>
                <w:kern w:val="0"/>
                <w:sz w:val="24"/>
                <w:szCs w:val="24"/>
                <w:lang w:val="ru-RU" w:eastAsia="en-US" w:bidi="ar-SA"/>
              </w:rPr>
              <w:t>Рисунок 37: Анимация</w:t>
            </w:r>
            <w:bookmarkEnd w:id="87"/>
            <w:bookmarkEnd w:id="88"/>
          </w:p>
        </w:tc>
      </w:tr>
    </w:tbl>
    <w:p>
      <w:pPr>
        <w:pStyle w:val="Heading1"/>
        <w:rPr/>
      </w:pPr>
      <w:bookmarkStart w:id="89" w:name="__RefHeading___Toc1828_3361612664"/>
      <w:bookmarkEnd w:id="89"/>
      <w:r>
        <w:rPr/>
        <w:t>4. Выводы</w:t>
      </w:r>
    </w:p>
    <w:p>
      <w:pPr>
        <w:pStyle w:val="FirstParagraph"/>
        <w:rPr/>
      </w:pPr>
      <w:r>
        <w:rPr/>
        <w:t>Освоены специализированные пакеты для решения задач в непрерывном и дискретном времени.</w:t>
      </w:r>
    </w:p>
    <w:p>
      <w:pPr>
        <w:pStyle w:val="Heading1"/>
        <w:rPr/>
      </w:pPr>
      <w:bookmarkStart w:id="90" w:name="__RefHeading___Toc1830_3361612664"/>
      <w:bookmarkStart w:id="91" w:name="список-литературы"/>
      <w:bookmarkEnd w:id="90"/>
      <w:r>
        <w:rPr/>
        <w:t>Список литературы</w:t>
      </w:r>
    </w:p>
    <w:p>
      <w:pPr>
        <w:pStyle w:val="Bibliography"/>
        <w:spacing w:before="0" w:after="200"/>
        <w:rPr/>
      </w:pPr>
      <w:bookmarkStart w:id="92" w:name="refs"/>
      <w:bookmarkStart w:id="93" w:name="ref-julia_docs_1.5"/>
      <w:r>
        <w:rPr/>
        <w:t xml:space="preserve">1. </w:t>
        <w:tab/>
        <w:t xml:space="preserve">Julia Language Documentation. Julia 1.5 Documentation [Электронный ресурс]. 2020. URL: </w:t>
      </w:r>
      <w:hyperlink r:id="rId39">
        <w:r>
          <w:rPr>
            <w:rStyle w:val="InternetLink"/>
          </w:rPr>
          <w:t>https://docs.julialang.org/en/v1/</w:t>
        </w:r>
      </w:hyperlink>
      <w:r>
        <w:rPr/>
        <w:t>.</w:t>
      </w:r>
      <w:bookmarkEnd w:id="91"/>
      <w:bookmarkEnd w:id="92"/>
      <w:bookmarkEnd w:id="9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TextBody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Contents1">
    <w:name w:val="TOC 1"/>
    <w:basedOn w:val="Index"/>
    <w:pPr>
      <w:tabs>
        <w:tab w:val="clear" w:pos="720"/>
        <w:tab w:val="right" w:pos="9360" w:leader="dot"/>
      </w:tabs>
      <w:ind w:left="0" w:hanging="0"/>
    </w:pPr>
    <w:rPr/>
  </w:style>
  <w:style w:type="paragraph" w:styleId="Contents2">
    <w:name w:val="TOC 2"/>
    <w:basedOn w:val="Index"/>
    <w:pPr>
      <w:tabs>
        <w:tab w:val="clear" w:pos="720"/>
        <w:tab w:val="right" w:pos="9077" w:leader="dot"/>
      </w:tabs>
      <w:ind w:left="283" w:hanging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hyperlink" Target="https://docs.julialang.org/en/v1/" TargetMode="External"/><Relationship Id="rId40" Type="http://schemas.openxmlformats.org/officeDocument/2006/relationships/numbering" Target="numbering.xml"/><Relationship Id="rId41" Type="http://schemas.openxmlformats.org/officeDocument/2006/relationships/fontTable" Target="fontTable.xml"/><Relationship Id="rId42" Type="http://schemas.openxmlformats.org/officeDocument/2006/relationships/settings" Target="settings.xml"/><Relationship Id="rId4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LibreOffice/7.4.7.2$Linux_X86_64 LibreOffice_project/40$Build-2</Application>
  <AppVersion>15.0000</AppVersion>
  <Pages>24</Pages>
  <Words>535</Words>
  <Characters>3594</Characters>
  <CharactersWithSpaces>4084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2025-11-22T13:53:46Z</dcterms:created>
  <dc:creator>Александр Эдуардович Аскеров</dc:creator>
  <dc:description/>
  <dc:language>ru-RU</dc:language>
  <cp:lastModifiedBy/>
  <dcterms:modified xsi:type="dcterms:W3CDTF">2025-11-22T16:54:13Z</dcterms:modified>
  <cp:revision>1</cp:revision>
  <dc:subject/>
  <dc:title>Лабораторная работа №6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Решение моделей в непрерывном и дискретном времени</vt:lpwstr>
  </property>
  <property fmtid="{D5CDD505-2E9C-101B-9397-08002B2CF9AE}" pid="16" name="toc-title">
    <vt:lpwstr>Содержание</vt:lpwstr>
  </property>
</Properties>
</file>