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Лабораторная работа №1</w:t>
      </w:r>
    </w:p>
    <w:p>
      <w:pPr>
        <w:pStyle w:val="Subtitle"/>
        <w:rPr/>
      </w:pPr>
      <w:r>
        <w:rPr/>
        <w:t>Julia. Установка и настройка. Основные принципы.</w:t>
      </w:r>
    </w:p>
    <w:p>
      <w:pPr>
        <w:pStyle w:val="Author"/>
        <w:rPr/>
      </w:pPr>
      <w:r>
        <w:rPr/>
        <w:t>Александр Эдуардович Аскеров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80"/>
            <w:rPr>
              <w:rFonts w:ascii="Aptos Display" w:hAnsi="Aptos Display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"1-2"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572_3194028215">
            <w:r>
              <w:rPr>
                <w:webHidden/>
                <w:rStyle w:val="IndexLink"/>
              </w:rPr>
              <w:t>1. Цель работы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74_3194028215">
            <w:r>
              <w:rPr>
                <w:webHidden/>
                <w:rStyle w:val="IndexLink"/>
              </w:rPr>
              <w:t>2. Задание</w:t>
              <w:tab/>
              <w:t>1</w:t>
            </w:r>
          </w:hyperlink>
        </w:p>
        <w:p>
          <w:pPr>
            <w:pStyle w:val="Contents1"/>
            <w:rPr/>
          </w:pPr>
          <w:hyperlink w:anchor="__RefHeading___Toc576_3194028215">
            <w:r>
              <w:rPr>
                <w:webHidden/>
                <w:rStyle w:val="IndexLink"/>
              </w:rPr>
              <w:t>3. Выполнение лабораторной работы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578_3194028215">
            <w:r>
              <w:rPr>
                <w:webHidden/>
                <w:rStyle w:val="IndexLink"/>
              </w:rPr>
              <w:t>3.1 Установите под свою операционную систему Julia, Jupyter.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580_3194028215">
            <w:r>
              <w:rPr>
                <w:webHidden/>
                <w:rStyle w:val="IndexLink"/>
              </w:rPr>
              <w:t>3.2 Используя Jupyter Lab, повторите примеры из раздела 1.3.3.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582_3194028215">
            <w:r>
              <w:rPr>
                <w:webHidden/>
                <w:rStyle w:val="IndexLink"/>
              </w:rPr>
              <w:t>3.3 Задания для самостоятельной работы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584_3194028215">
            <w:r>
              <w:rPr>
                <w:webHidden/>
                <w:rStyle w:val="IndexLink"/>
              </w:rPr>
              <w:t>4. Выводы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586_3194028215">
            <w:r>
              <w:rPr>
                <w:webHidden/>
                <w:rStyle w:val="IndexLink"/>
              </w:rPr>
              <w:t>Список литературы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572_3194028215"/>
      <w:bookmarkStart w:id="1" w:name="цель-работы"/>
      <w:bookmarkEnd w:id="0"/>
      <w:r>
        <w:rPr/>
        <w:t>1. Цель работы</w:t>
      </w:r>
    </w:p>
    <w:p>
      <w:pPr>
        <w:pStyle w:val="FirstParagraph"/>
        <w:rPr/>
      </w:pPr>
      <w:bookmarkStart w:id="2" w:name="цель-работы"/>
      <w:r>
        <w:rPr/>
        <w:t>Основная цель работы — подготовить рабочее пространство и инструментарий для работы с языком программирования Julia, на простейших примерах познакомиться с основами синтаксиса Julia.</w:t>
      </w:r>
      <w:bookmarkEnd w:id="2"/>
    </w:p>
    <w:p>
      <w:pPr>
        <w:pStyle w:val="Heading1"/>
        <w:rPr/>
      </w:pPr>
      <w:bookmarkStart w:id="3" w:name="__RefHeading___Toc574_3194028215"/>
      <w:bookmarkStart w:id="4" w:name="задание"/>
      <w:bookmarkEnd w:id="3"/>
      <w:r>
        <w:rPr/>
        <w:t>2. Задание</w:t>
      </w:r>
    </w:p>
    <w:p>
      <w:pPr>
        <w:pStyle w:val="Compact"/>
        <w:numPr>
          <w:ilvl w:val="0"/>
          <w:numId w:val="3"/>
        </w:numPr>
        <w:rPr/>
      </w:pPr>
      <w:r>
        <w:rPr/>
        <w:t>Установите под свою операционную систему Julia, Jupyter.</w:t>
      </w:r>
    </w:p>
    <w:p>
      <w:pPr>
        <w:pStyle w:val="Compact"/>
        <w:numPr>
          <w:ilvl w:val="0"/>
          <w:numId w:val="1"/>
        </w:numPr>
        <w:rPr/>
      </w:pPr>
      <w:r>
        <w:rPr/>
        <w:t>Используя Jupyter Lab, повторите примеры из раздела 1.3.3.</w:t>
      </w:r>
    </w:p>
    <w:p>
      <w:pPr>
        <w:pStyle w:val="Compact"/>
        <w:numPr>
          <w:ilvl w:val="0"/>
          <w:numId w:val="1"/>
        </w:numPr>
        <w:rPr/>
      </w:pPr>
      <w:bookmarkStart w:id="5" w:name="задание"/>
      <w:r>
        <w:rPr/>
        <w:t>Выполните задания для самостоятельной работы.</w:t>
      </w:r>
      <w:bookmarkEnd w:id="5"/>
    </w:p>
    <w:p>
      <w:pPr>
        <w:pStyle w:val="Heading1"/>
        <w:rPr/>
      </w:pPr>
      <w:bookmarkStart w:id="6" w:name="__RefHeading___Toc576_3194028215"/>
      <w:bookmarkStart w:id="7" w:name="выполнение-лабораторной-работы"/>
      <w:bookmarkEnd w:id="6"/>
      <w:r>
        <w:rPr/>
        <w:t>3. Выполнение лабораторной работы</w:t>
      </w:r>
    </w:p>
    <w:p>
      <w:pPr>
        <w:pStyle w:val="Heading2"/>
        <w:rPr/>
      </w:pPr>
      <w:bookmarkStart w:id="8" w:name="__RefHeading___Toc578_3194028215"/>
      <w:bookmarkStart w:id="9" w:name="X70f696d294f88efdd1cd3a7008361bbacfd09e4"/>
      <w:bookmarkEnd w:id="8"/>
      <w:r>
        <w:rPr/>
        <w:t>3.1 Установите под свою операционную систему Julia, Jupyter.</w:t>
      </w:r>
    </w:p>
    <w:p>
      <w:pPr>
        <w:pStyle w:val="FirstParagraph"/>
        <w:rPr/>
      </w:pPr>
      <w:r>
        <w:rPr/>
        <w:t>Julia и Jupyter установлены [1–5].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0" w:name="fig-001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2666365" cy="299339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6365" cy="299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1" w:name="X70f696d294f88efdd1cd3a7008361bbacfd09e4"/>
            <w:bookmarkStart w:id="12" w:name="fig-001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1: Установленные Julia и Jupyter</w:t>
            </w:r>
            <w:bookmarkEnd w:id="11"/>
            <w:bookmarkEnd w:id="12"/>
          </w:p>
        </w:tc>
      </w:tr>
    </w:tbl>
    <w:p>
      <w:pPr>
        <w:pStyle w:val="Heading2"/>
        <w:rPr/>
      </w:pPr>
      <w:bookmarkStart w:id="13" w:name="__RefHeading___Toc580_3194028215"/>
      <w:bookmarkEnd w:id="13"/>
      <w:r>
        <w:rPr/>
        <w:t>3.2 Используя Jupyter Lab, повторите примеры из раздела 1.3.3.</w:t>
      </w:r>
    </w:p>
    <w:p>
      <w:pPr>
        <w:pStyle w:val="FirstParagraph"/>
        <w:rPr/>
      </w:pPr>
      <w:r>
        <w:rPr/>
        <w:t>Определение типа числовой величины.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4" w:name="fig-002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414780" cy="50038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50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5" w:name="fig-002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2: Определение типа числовой величины</w:t>
            </w:r>
            <w:bookmarkEnd w:id="15"/>
          </w:p>
        </w:tc>
      </w:tr>
    </w:tbl>
    <w:p>
      <w:pPr>
        <w:pStyle w:val="TextBody"/>
        <w:rPr/>
      </w:pPr>
      <w:r>
        <w:rPr/>
        <w:t>Определение крайних значений диапазонов целочисленных числовых величин.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6" w:name="fig-003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141605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7" w:name="fig-003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3: Определение крайних значений диапазонов целочисленных числовых величин</w:t>
            </w:r>
            <w:bookmarkEnd w:id="17"/>
          </w:p>
        </w:tc>
      </w:tr>
    </w:tbl>
    <w:p>
      <w:pPr>
        <w:pStyle w:val="TextBody"/>
        <w:rPr/>
      </w:pPr>
      <w:r>
        <w:rPr/>
        <w:t>Преобразование типов.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8" w:name="fig-004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227520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75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19" w:name="fig-004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4: Преобразование типов разными способами</w:t>
            </w:r>
            <w:bookmarkEnd w:id="19"/>
          </w:p>
        </w:tc>
      </w:tr>
    </w:tbl>
    <w:p>
      <w:pPr>
        <w:pStyle w:val="TextBody"/>
        <w:rPr/>
      </w:pPr>
      <w:r>
        <w:rPr/>
        <w:t>Определение функций.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20" w:name="fig-005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963420" cy="160718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3420" cy="160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21" w:name="fig-005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5: Определение функций разными способами</w:t>
            </w:r>
            <w:bookmarkEnd w:id="21"/>
          </w:p>
        </w:tc>
      </w:tr>
    </w:tbl>
    <w:p>
      <w:pPr>
        <w:pStyle w:val="TextBody"/>
        <w:rPr/>
      </w:pPr>
      <w:r>
        <w:rPr/>
        <w:t>Определение одномерных массивов (вектор-строка и вектор-столбец) и обращение к их вторым элементам.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22" w:name="fig-006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1800225" cy="76009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23" w:name="fig-006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6: Работа с одномерными массивами</w:t>
            </w:r>
            <w:bookmarkEnd w:id="23"/>
          </w:p>
        </w:tc>
      </w:tr>
    </w:tbl>
    <w:p>
      <w:pPr>
        <w:pStyle w:val="TextBody"/>
        <w:rPr/>
      </w:pPr>
      <w:r>
        <w:rPr/>
        <w:t>Определение двумерного массива (матрицы) и операции над массивами, включая транспонирование.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24" w:name="fig-007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2483485" cy="1819275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48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25" w:name="fig-007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7: Работа с двумерными массивами</w:t>
            </w:r>
            <w:bookmarkEnd w:id="25"/>
          </w:p>
        </w:tc>
      </w:tr>
    </w:tbl>
    <w:p>
      <w:pPr>
        <w:pStyle w:val="Heading2"/>
        <w:rPr/>
      </w:pPr>
      <w:bookmarkStart w:id="26" w:name="__RefHeading___Toc582_3194028215"/>
      <w:bookmarkEnd w:id="26"/>
      <w:r>
        <w:rPr/>
        <w:t>3.3 Задания для самостоятельной работы</w:t>
      </w:r>
    </w:p>
    <w:p>
      <w:pPr>
        <w:pStyle w:val="Heading3"/>
        <w:rPr/>
      </w:pPr>
      <w:bookmarkStart w:id="27" w:name="задание-1"/>
      <w:r>
        <w:rPr/>
        <w:t>3.3.1 Задание 1</w:t>
      </w:r>
    </w:p>
    <w:p>
      <w:pPr>
        <w:pStyle w:val="FirstParagraph"/>
        <w:rPr/>
      </w:pPr>
      <w:r>
        <w:rPr>
          <w:i/>
          <w:iCs/>
        </w:rPr>
        <w:t>Изучите документацию по основным функциям Julia для чтения / записи / вывода информации на экран: read(), readline(), readlines(), readdlm(), print(), println(), show(), write(). Приведите свои примеры их использования, поясняя особенности их применения.</w:t>
      </w:r>
    </w:p>
    <w:p>
      <w:pPr>
        <w:pStyle w:val="TextBody"/>
        <w:rPr/>
      </w:pPr>
      <w:r>
        <w:rPr/>
        <w:t>Фрагмент документации по функции read.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28" w:name="fig-008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227965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29" w:name="fig-008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8: Фрагмент документации по функции read</w:t>
            </w:r>
            <w:bookmarkEnd w:id="29"/>
          </w:p>
        </w:tc>
      </w:tr>
    </w:tbl>
    <w:p>
      <w:pPr>
        <w:pStyle w:val="TextBody"/>
        <w:rPr/>
      </w:pPr>
      <w:r>
        <w:rPr/>
        <w:t>Применение функций read, readline, readdlm.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30" w:name="fig-009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2752725" cy="4302125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430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31" w:name="fig-009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9: Применение функций read, readline, readdlm</w:t>
            </w:r>
            <w:bookmarkEnd w:id="31"/>
          </w:p>
        </w:tc>
      </w:tr>
    </w:tbl>
    <w:p>
      <w:pPr>
        <w:pStyle w:val="TextBody"/>
        <w:rPr/>
      </w:pPr>
      <w:r>
        <w:rPr/>
        <w:t>Применение функций print, println, show, write.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32" w:name="fig-010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2406015" cy="2588895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015" cy="258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33" w:name="задание-1"/>
            <w:bookmarkStart w:id="34" w:name="fig-010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10: Применение функций print, println, show, write</w:t>
            </w:r>
            <w:bookmarkEnd w:id="33"/>
            <w:bookmarkEnd w:id="34"/>
          </w:p>
        </w:tc>
      </w:tr>
    </w:tbl>
    <w:p>
      <w:pPr>
        <w:pStyle w:val="Heading3"/>
        <w:rPr/>
      </w:pPr>
      <w:r>
        <w:rPr/>
        <w:t>3.3.2 Задание 2</w:t>
      </w:r>
    </w:p>
    <w:p>
      <w:pPr>
        <w:pStyle w:val="FirstParagraph"/>
        <w:rPr/>
      </w:pPr>
      <w:r>
        <w:rPr>
          <w:i/>
          <w:iCs/>
        </w:rPr>
        <w:t>Изучите документацию по функции parse(). Приведите свои примеры её использования, поясняя особенности её применения.</w:t>
      </w:r>
    </w:p>
    <w:p>
      <w:pPr>
        <w:pStyle w:val="TextBody"/>
        <w:rPr/>
      </w:pPr>
      <w:r>
        <w:rPr/>
        <w:t>Документация по функции parse.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35" w:name="fig-011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200723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007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36" w:name="fig-011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11: Документация по функции parse</w:t>
            </w:r>
            <w:bookmarkEnd w:id="36"/>
          </w:p>
        </w:tc>
      </w:tr>
    </w:tbl>
    <w:p>
      <w:pPr>
        <w:pStyle w:val="TextBody"/>
        <w:rPr/>
      </w:pPr>
      <w:r>
        <w:rPr/>
        <w:t>Примеры использования.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37" w:name="fig-012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2608580" cy="1068705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8580" cy="106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38" w:name="fig-012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12: Примеры использования</w:t>
            </w:r>
            <w:bookmarkEnd w:id="38"/>
          </w:p>
        </w:tc>
      </w:tr>
    </w:tbl>
    <w:p>
      <w:pPr>
        <w:pStyle w:val="Heading3"/>
        <w:rPr/>
      </w:pPr>
      <w:r>
        <w:rPr/>
        <w:t>3.3.3 Задание 3</w:t>
      </w:r>
    </w:p>
    <w:p>
      <w:pPr>
        <w:pStyle w:val="FirstParagraph"/>
        <w:rPr/>
      </w:pPr>
      <w:r>
        <w:rPr>
          <w:i/>
          <w:iCs/>
        </w:rPr>
        <w:t>Изучите синтаксис Julia для базовых математических операций с разным типом переменных: сложение, вычитание, умножение, деление, возведение в степень, извлечение корня, сравнение, логические операции. Приведите свои примеры с пояснениями по особенностям их применения.</w:t>
      </w:r>
    </w:p>
    <w:p>
      <w:pPr>
        <w:pStyle w:val="TextBody"/>
        <w:rPr/>
      </w:pPr>
      <w:r>
        <w:rPr/>
        <w:t>Арифметические операции.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39" w:name="fig-013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2560320" cy="3359150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0320" cy="335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40" w:name="fig-013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13: Арифметические операции</w:t>
            </w:r>
            <w:bookmarkEnd w:id="40"/>
          </w:p>
        </w:tc>
      </w:tr>
    </w:tbl>
    <w:p>
      <w:pPr>
        <w:pStyle w:val="TextBody"/>
        <w:rPr/>
      </w:pPr>
      <w:r>
        <w:rPr/>
        <w:t xml:space="preserve"> 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41" w:name="fig-014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05860" cy="2733675"/>
                  <wp:effectExtent l="0" t="0" r="0" b="0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86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42" w:name="fig-014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14: Арифметические операции (продолжение)</w:t>
            </w:r>
            <w:bookmarkEnd w:id="42"/>
          </w:p>
        </w:tc>
      </w:tr>
    </w:tbl>
    <w:p>
      <w:pPr>
        <w:pStyle w:val="Heading3"/>
        <w:rPr/>
      </w:pPr>
      <w:r>
        <w:rPr/>
        <w:t>3.3.4 Задание 4</w:t>
      </w:r>
    </w:p>
    <w:p>
      <w:pPr>
        <w:pStyle w:val="FirstParagraph"/>
        <w:rPr/>
      </w:pPr>
      <w:r>
        <w:rPr>
          <w:i/>
          <w:iCs/>
        </w:rPr>
        <w:t>Приведите несколько своих примеров с пояснениями с операциями над матрицами и векторами: сложение, вычитание, скалярное произведение, транспонирование, умножение на скаляр.</w:t>
      </w:r>
    </w:p>
    <w:p>
      <w:pPr>
        <w:pStyle w:val="TextBody"/>
        <w:rPr/>
      </w:pPr>
      <w:r>
        <w:rPr/>
        <w:t>Операции над матрицами.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43" w:name="fig-015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243580" cy="2800985"/>
                  <wp:effectExtent l="0" t="0" r="0" b="0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580" cy="280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44" w:name="fig-015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15: Операции над матрицами</w:t>
            </w:r>
            <w:bookmarkEnd w:id="44"/>
          </w:p>
        </w:tc>
      </w:tr>
    </w:tbl>
    <w:p>
      <w:pPr>
        <w:pStyle w:val="TextBody"/>
        <w:rPr/>
      </w:pPr>
      <w:r>
        <w:rPr/>
        <w:t xml:space="preserve"> 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Compact"/>
              <w:widowControl/>
              <w:spacing w:before="36" w:after="36"/>
              <w:jc w:val="center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45" w:name="fig-016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drawing>
                <wp:inline distT="0" distB="0" distL="0" distR="0">
                  <wp:extent cx="3733800" cy="2355850"/>
                  <wp:effectExtent l="0" t="0" r="0" b="0"/>
                  <wp:docPr id="16" name="Image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235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ImageCaption"/>
              <w:widowControl/>
              <w:spacing w:before="200" w:after="120"/>
              <w:jc w:val="left"/>
              <w:rPr>
                <w:rFonts w:ascii="Aptos" w:hAnsi="Aptos" w:eastAsia="Aptos" w:cs=""/>
                <w:kern w:val="0"/>
                <w:sz w:val="24"/>
                <w:szCs w:val="24"/>
                <w:lang w:val="ru-RU" w:eastAsia="en-US" w:bidi="ar-SA"/>
              </w:rPr>
            </w:pPr>
            <w:bookmarkStart w:id="46" w:name="выполнение-лабораторной-работы"/>
            <w:bookmarkStart w:id="47" w:name="fig-016"/>
            <w:r>
              <w:rPr>
                <w:rFonts w:eastAsia="Aptos" w:cs=""/>
                <w:kern w:val="0"/>
                <w:sz w:val="24"/>
                <w:szCs w:val="24"/>
                <w:lang w:val="ru-RU" w:eastAsia="en-US" w:bidi="ar-SA"/>
              </w:rPr>
              <w:t>Рисунок 16: Операции над матрицами (продолжение)</w:t>
            </w:r>
            <w:bookmarkEnd w:id="46"/>
            <w:bookmarkEnd w:id="47"/>
          </w:p>
        </w:tc>
      </w:tr>
    </w:tbl>
    <w:p>
      <w:pPr>
        <w:pStyle w:val="Heading1"/>
        <w:rPr/>
      </w:pPr>
      <w:bookmarkStart w:id="48" w:name="__RefHeading___Toc584_3194028215"/>
      <w:bookmarkEnd w:id="48"/>
      <w:r>
        <w:rPr/>
        <w:t>4. Выводы</w:t>
      </w:r>
    </w:p>
    <w:p>
      <w:pPr>
        <w:pStyle w:val="FirstParagraph"/>
        <w:rPr/>
      </w:pPr>
      <w:r>
        <w:rPr/>
        <w:t>Было подготовлено рабочее пространство и инструментарий для работы с языком программирования Julia, а также на простейших примерах было произведено ознакомление с основами синтаксиса Julia.</w:t>
      </w:r>
    </w:p>
    <w:p>
      <w:pPr>
        <w:pStyle w:val="Heading1"/>
        <w:rPr/>
      </w:pPr>
      <w:bookmarkStart w:id="49" w:name="__RefHeading___Toc586_3194028215"/>
      <w:bookmarkStart w:id="50" w:name="список-литературы"/>
      <w:bookmarkEnd w:id="49"/>
      <w:r>
        <w:rPr/>
        <w:t>Список литературы</w:t>
      </w:r>
    </w:p>
    <w:p>
      <w:pPr>
        <w:pStyle w:val="Bibliography"/>
        <w:rPr/>
      </w:pPr>
      <w:bookmarkStart w:id="51" w:name="refs"/>
      <w:bookmarkStart w:id="52" w:name="ref-julia_docs_1.5"/>
      <w:r>
        <w:rPr/>
        <w:t xml:space="preserve">1. </w:t>
        <w:tab/>
        <w:t xml:space="preserve">Julia Language Documentation. Julia 1.5 Documentation [Электронный ресурс]. 2020. URL: </w:t>
      </w:r>
      <w:hyperlink r:id="rId18">
        <w:r>
          <w:rPr>
            <w:rStyle w:val="InternetLink"/>
          </w:rPr>
          <w:t>https://docs.julialang.org/en/v1/</w:t>
        </w:r>
      </w:hyperlink>
      <w:r>
        <w:rPr/>
        <w:t>.</w:t>
      </w:r>
      <w:bookmarkEnd w:id="52"/>
    </w:p>
    <w:p>
      <w:pPr>
        <w:pStyle w:val="Bibliography"/>
        <w:rPr/>
      </w:pPr>
      <w:bookmarkStart w:id="53" w:name="ref-klok_nazarathy_statistics-julia"/>
      <w:r>
        <w:rPr/>
        <w:t xml:space="preserve">2. </w:t>
        <w:tab/>
        <w:t xml:space="preserve">Klok H., Nazarathy Y. Statistics with Julia: Fundamentals for Data Science, Machine Learning and Artificial Intelligence [Электронный ресурс]. 2020. URL: </w:t>
      </w:r>
      <w:hyperlink r:id="rId19">
        <w:r>
          <w:rPr>
            <w:rStyle w:val="InternetLink"/>
          </w:rPr>
          <w:t>https://statisticswithjulia.org/</w:t>
        </w:r>
      </w:hyperlink>
      <w:r>
        <w:rPr/>
        <w:t>.</w:t>
      </w:r>
      <w:bookmarkEnd w:id="53"/>
    </w:p>
    <w:p>
      <w:pPr>
        <w:pStyle w:val="Bibliography"/>
        <w:rPr/>
      </w:pPr>
      <w:bookmarkStart w:id="54" w:name="X34a72fba16879449ad81b15667a09db901396c1"/>
      <w:r>
        <w:rPr/>
        <w:t xml:space="preserve">3. </w:t>
        <w:tab/>
        <w:t xml:space="preserve">Ökten G. </w:t>
      </w:r>
      <w:hyperlink r:id="rId20">
        <w:r>
          <w:rPr>
            <w:rStyle w:val="InternetLink"/>
          </w:rPr>
          <w:t>First Semester in Numerical Analysis with Julia</w:t>
        </w:r>
      </w:hyperlink>
      <w:r>
        <w:rPr/>
        <w:t>. Florida State University, 2019.</w:t>
      </w:r>
      <w:bookmarkEnd w:id="54"/>
    </w:p>
    <w:p>
      <w:pPr>
        <w:pStyle w:val="Bibliography"/>
        <w:rPr/>
      </w:pPr>
      <w:bookmarkStart w:id="55" w:name="ref-antonuk_julia-research-tool"/>
      <w:r>
        <w:rPr/>
        <w:t xml:space="preserve">4. </w:t>
        <w:tab/>
        <w:t>Антонюк В.А. Язык Julia как инструмент исследователя. Физический факультет МГУ им. М. В. Ломоносова, 2019.</w:t>
      </w:r>
      <w:bookmarkEnd w:id="55"/>
    </w:p>
    <w:p>
      <w:pPr>
        <w:pStyle w:val="Bibliography"/>
        <w:spacing w:before="0" w:after="200"/>
        <w:rPr/>
      </w:pPr>
      <w:bookmarkStart w:id="56" w:name="список-литературы"/>
      <w:bookmarkStart w:id="57" w:name="refs"/>
      <w:bookmarkStart w:id="58" w:name="ref-shindin_julia-tutorial"/>
      <w:r>
        <w:rPr/>
        <w:t xml:space="preserve">5. </w:t>
        <w:tab/>
        <w:t>Шиндин А.В. Язык программирования математических вычислений Julia. Базовое руководство. Нижегородский госуниверситет, 2016.</w:t>
      </w:r>
      <w:bookmarkEnd w:id="56"/>
      <w:bookmarkEnd w:id="57"/>
      <w:bookmarkEnd w:id="5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3B4F"/>
      <w:shd w:fill="F1F3F5" w:val="clear"/>
    </w:rPr>
  </w:style>
  <w:style w:type="character" w:styleId="DataTypeTok" w:customStyle="1">
    <w:name w:val="DataTypeTok"/>
    <w:basedOn w:val="VerbatimChar"/>
    <w:qFormat/>
    <w:rPr>
      <w:color w:val="AD0000"/>
      <w:shd w:fill="F1F3F5" w:val="clear"/>
    </w:rPr>
  </w:style>
  <w:style w:type="character" w:styleId="DecValTok" w:customStyle="1">
    <w:name w:val="DecValTok"/>
    <w:basedOn w:val="VerbatimChar"/>
    <w:qFormat/>
    <w:rPr>
      <w:color w:val="AD0000"/>
      <w:shd w:fill="F1F3F5" w:val="clear"/>
    </w:rPr>
  </w:style>
  <w:style w:type="character" w:styleId="BaseNTok" w:customStyle="1">
    <w:name w:val="BaseNTok"/>
    <w:basedOn w:val="VerbatimChar"/>
    <w:qFormat/>
    <w:rPr>
      <w:color w:val="AD0000"/>
      <w:shd w:fill="F1F3F5" w:val="clear"/>
    </w:rPr>
  </w:style>
  <w:style w:type="character" w:styleId="FloatTok" w:customStyle="1">
    <w:name w:val="FloatTok"/>
    <w:basedOn w:val="VerbatimChar"/>
    <w:qFormat/>
    <w:rPr>
      <w:color w:val="AD0000"/>
      <w:shd w:fill="F1F3F5" w:val="clear"/>
    </w:rPr>
  </w:style>
  <w:style w:type="character" w:styleId="ConstantTok" w:customStyle="1">
    <w:name w:val="ConstantTok"/>
    <w:basedOn w:val="VerbatimChar"/>
    <w:qFormat/>
    <w:rPr>
      <w:color w:val="8F5902"/>
      <w:shd w:fill="F1F3F5" w:val="clear"/>
    </w:rPr>
  </w:style>
  <w:style w:type="character" w:styleId="CharTok" w:customStyle="1">
    <w:name w:val="CharTok"/>
    <w:basedOn w:val="VerbatimChar"/>
    <w:qFormat/>
    <w:rPr>
      <w:color w:val="20794D"/>
      <w:shd w:fill="F1F3F5" w:val="clear"/>
    </w:rPr>
  </w:style>
  <w:style w:type="character" w:styleId="SpecialCharTok" w:customStyle="1">
    <w:name w:val="SpecialCharTok"/>
    <w:basedOn w:val="VerbatimChar"/>
    <w:qFormat/>
    <w:rPr>
      <w:color w:val="5E5E5E"/>
      <w:shd w:fill="F1F3F5" w:val="clear"/>
    </w:rPr>
  </w:style>
  <w:style w:type="character" w:styleId="StringTok" w:customStyle="1">
    <w:name w:val="StringTok"/>
    <w:basedOn w:val="VerbatimChar"/>
    <w:qFormat/>
    <w:rPr>
      <w:color w:val="20794D"/>
      <w:shd w:fill="F1F3F5" w:val="clear"/>
    </w:rPr>
  </w:style>
  <w:style w:type="character" w:styleId="VerbatimStringTok" w:customStyle="1">
    <w:name w:val="VerbatimStringTok"/>
    <w:basedOn w:val="VerbatimChar"/>
    <w:qFormat/>
    <w:rPr>
      <w:color w:val="20794D"/>
      <w:shd w:fill="F1F3F5" w:val="clear"/>
    </w:rPr>
  </w:style>
  <w:style w:type="character" w:styleId="SpecialStringTok" w:customStyle="1">
    <w:name w:val="SpecialStringTok"/>
    <w:basedOn w:val="VerbatimChar"/>
    <w:qFormat/>
    <w:rPr>
      <w:color w:val="20794D"/>
      <w:shd w:fill="F1F3F5" w:val="clear"/>
    </w:rPr>
  </w:style>
  <w:style w:type="character" w:styleId="ImportTok" w:customStyle="1">
    <w:name w:val="ImportTok"/>
    <w:basedOn w:val="VerbatimChar"/>
    <w:qFormat/>
    <w:rPr>
      <w:color w:val="00769E"/>
      <w:shd w:fill="F1F3F5" w:val="clear"/>
    </w:rPr>
  </w:style>
  <w:style w:type="character" w:styleId="CommentTok" w:customStyle="1">
    <w:name w:val="CommentTok"/>
    <w:basedOn w:val="VerbatimChar"/>
    <w:qFormat/>
    <w:rPr>
      <w:color w:val="5E5E5E"/>
      <w:shd w:fill="F1F3F5" w:val="clear"/>
    </w:rPr>
  </w:style>
  <w:style w:type="character" w:styleId="DocumentationTok" w:customStyle="1">
    <w:name w:val="DocumentationTok"/>
    <w:basedOn w:val="VerbatimChar"/>
    <w:qFormat/>
    <w:rPr>
      <w:i/>
      <w:color w:val="5E5E5E"/>
      <w:shd w:fill="F1F3F5" w:val="clear"/>
    </w:rPr>
  </w:style>
  <w:style w:type="character" w:styleId="AnnotationTok" w:customStyle="1">
    <w:name w:val="AnnotationTok"/>
    <w:basedOn w:val="VerbatimChar"/>
    <w:qFormat/>
    <w:rPr>
      <w:color w:val="5E5E5E"/>
      <w:shd w:fill="F1F3F5" w:val="clear"/>
    </w:rPr>
  </w:style>
  <w:style w:type="character" w:styleId="CommentVarTok" w:customStyle="1">
    <w:name w:val="CommentVarTok"/>
    <w:basedOn w:val="VerbatimChar"/>
    <w:qFormat/>
    <w:rPr>
      <w:i/>
      <w:color w:val="5E5E5E"/>
      <w:shd w:fill="F1F3F5" w:val="clear"/>
    </w:rPr>
  </w:style>
  <w:style w:type="character" w:styleId="OtherTok" w:customStyle="1">
    <w:name w:val="OtherTok"/>
    <w:basedOn w:val="VerbatimChar"/>
    <w:qFormat/>
    <w:rPr>
      <w:color w:val="003B4F"/>
      <w:shd w:fill="F1F3F5" w:val="clear"/>
    </w:rPr>
  </w:style>
  <w:style w:type="character" w:styleId="FunctionTok" w:customStyle="1">
    <w:name w:val="FunctionTok"/>
    <w:basedOn w:val="VerbatimChar"/>
    <w:qFormat/>
    <w:rPr>
      <w:color w:val="4758AB"/>
      <w:shd w:fill="F1F3F5" w:val="clear"/>
    </w:rPr>
  </w:style>
  <w:style w:type="character" w:styleId="VariableTok" w:customStyle="1">
    <w:name w:val="VariableTok"/>
    <w:basedOn w:val="VerbatimChar"/>
    <w:qFormat/>
    <w:rPr>
      <w:color w:val="111111"/>
      <w:shd w:fill="F1F3F5" w:val="clear"/>
    </w:rPr>
  </w:style>
  <w:style w:type="character" w:styleId="ControlFlowTok" w:customStyle="1">
    <w:name w:val="ControlFlowTok"/>
    <w:basedOn w:val="VerbatimChar"/>
    <w:qFormat/>
    <w:rPr>
      <w:b/>
      <w:color w:val="003B4F"/>
      <w:shd w:fill="F1F3F5" w:val="clear"/>
    </w:rPr>
  </w:style>
  <w:style w:type="character" w:styleId="OperatorTok" w:customStyle="1">
    <w:name w:val="OperatorTok"/>
    <w:basedOn w:val="VerbatimChar"/>
    <w:qFormat/>
    <w:rPr>
      <w:color w:val="5E5E5E"/>
      <w:shd w:fill="F1F3F5" w:val="clear"/>
    </w:rPr>
  </w:style>
  <w:style w:type="character" w:styleId="BuiltInTok" w:customStyle="1">
    <w:name w:val="BuiltInTok"/>
    <w:basedOn w:val="VerbatimChar"/>
    <w:qFormat/>
    <w:rPr>
      <w:color w:val="003B4F"/>
      <w:shd w:fill="F1F3F5" w:val="clear"/>
    </w:rPr>
  </w:style>
  <w:style w:type="character" w:styleId="ExtensionTok" w:customStyle="1">
    <w:name w:val="ExtensionTok"/>
    <w:basedOn w:val="VerbatimChar"/>
    <w:qFormat/>
    <w:rPr>
      <w:color w:val="003B4F"/>
      <w:shd w:fill="F1F3F5" w:val="clear"/>
    </w:rPr>
  </w:style>
  <w:style w:type="character" w:styleId="PreprocessorTok" w:customStyle="1">
    <w:name w:val="PreprocessorTok"/>
    <w:basedOn w:val="VerbatimChar"/>
    <w:qFormat/>
    <w:rPr>
      <w:color w:val="AD0000"/>
      <w:shd w:fill="F1F3F5" w:val="clear"/>
    </w:rPr>
  </w:style>
  <w:style w:type="character" w:styleId="AttributeTok" w:customStyle="1">
    <w:name w:val="AttributeTok"/>
    <w:basedOn w:val="VerbatimChar"/>
    <w:qFormat/>
    <w:rPr>
      <w:color w:val="657422"/>
      <w:shd w:fill="F1F3F5" w:val="clear"/>
    </w:rPr>
  </w:style>
  <w:style w:type="character" w:styleId="RegionMarkerTok" w:customStyle="1">
    <w:name w:val="RegionMarkerTok"/>
    <w:basedOn w:val="VerbatimChar"/>
    <w:qFormat/>
    <w:rPr>
      <w:color w:val="003B4F"/>
      <w:shd w:fill="F1F3F5" w:val="clear"/>
    </w:rPr>
  </w:style>
  <w:style w:type="character" w:styleId="InformationTok" w:customStyle="1">
    <w:name w:val="InformationTok"/>
    <w:basedOn w:val="VerbatimChar"/>
    <w:qFormat/>
    <w:rPr>
      <w:color w:val="5E5E5E"/>
      <w:shd w:fill="F1F3F5" w:val="clear"/>
    </w:rPr>
  </w:style>
  <w:style w:type="character" w:styleId="WarningTok" w:customStyle="1">
    <w:name w:val="WarningTok"/>
    <w:basedOn w:val="VerbatimChar"/>
    <w:qFormat/>
    <w:rPr>
      <w:i/>
      <w:color w:val="5E5E5E"/>
      <w:shd w:fill="F1F3F5" w:val="clear"/>
    </w:rPr>
  </w:style>
  <w:style w:type="character" w:styleId="AlertTok" w:customStyle="1">
    <w:name w:val="AlertTok"/>
    <w:basedOn w:val="VerbatimChar"/>
    <w:qFormat/>
    <w:rPr>
      <w:color w:val="AD0000"/>
      <w:shd w:fill="F1F3F5" w:val="clear"/>
    </w:rPr>
  </w:style>
  <w:style w:type="character" w:styleId="ErrorTok" w:customStyle="1">
    <w:name w:val="ErrorTok"/>
    <w:basedOn w:val="VerbatimChar"/>
    <w:qFormat/>
    <w:rPr>
      <w:color w:val="AD0000"/>
      <w:shd w:fill="F1F3F5" w:val="clear"/>
    </w:rPr>
  </w:style>
  <w:style w:type="character" w:styleId="NormalTok" w:customStyle="1">
    <w:name w:val="NormalTok"/>
    <w:basedOn w:val="VerbatimChar"/>
    <w:qFormat/>
    <w:rPr>
      <w:color w:val="003B4F"/>
      <w:shd w:fill="F1F3F5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basedOn w:val="Title"/>
    <w:next w:val="TextBody"/>
    <w:qFormat/>
    <w:pPr>
      <w:keepNext w:val="true"/>
      <w:keepLines/>
    </w:pPr>
    <w:rPr>
      <w:sz w:val="24"/>
      <w:szCs w:val="24"/>
    </w:rPr>
  </w:style>
  <w:style w:type="paragraph" w:styleId="Date">
    <w:name w:val="Date"/>
    <w:basedOn w:val="Title"/>
    <w:next w:val="TextBody"/>
    <w:qFormat/>
    <w:pPr>
      <w:keepNext w:val="true"/>
      <w:keepLines/>
    </w:pPr>
    <w:rPr>
      <w:sz w:val="24"/>
      <w:szCs w:val="24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1F3F5"/>
    </w:pPr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docs.julialang.org/en/v1/" TargetMode="External"/><Relationship Id="rId19" Type="http://schemas.openxmlformats.org/officeDocument/2006/relationships/hyperlink" Target="https://statisticswithjulia.org/" TargetMode="External"/><Relationship Id="rId20" Type="http://schemas.openxmlformats.org/officeDocument/2006/relationships/hyperlink" Target="https://doi.org/10.33009/jul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9</Pages>
  <Words>514</Words>
  <Characters>3555</Characters>
  <CharactersWithSpaces>4005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2025-09-12T14:32:43Z</dcterms:created>
  <dc:creator>Александр Эдуардович Аскеров</dc:creator>
  <dc:description/>
  <dc:language>ru-RU</dc:language>
  <cp:lastModifiedBy/>
  <dcterms:modified xsi:type="dcterms:W3CDTF">2025-09-12T17:34:50Z</dcterms:modified>
  <cp:revision>1</cp:revision>
  <dc:subject/>
  <dc:title>Лабораторная работа №1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Julia. Установка и настройка. Основные принципы.</vt:lpwstr>
  </property>
  <property fmtid="{D5CDD505-2E9C-101B-9397-08002B2CF9AE}" pid="16" name="toc-title">
    <vt:lpwstr>Содержание</vt:lpwstr>
  </property>
</Properties>
</file>