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sz w:val="36"/>
        </w:rPr>
        <w:t>2025년 채널별 판매 실적 분석 및</w:t>
        <w:br/>
        <w:t>2026년 운영 방향 보고</w:t>
      </w:r>
    </w:p>
    <w:p>
      <w:pPr>
        <w:spacing w:after="160"/>
        <w:jc w:val="center"/>
      </w:pPr>
      <w:r>
        <w:rPr>
          <w:rFonts w:ascii="맑은 고딕" w:hAnsi="맑은 고딕" w:eastAsia="맑은 고딕"/>
          <w:b w:val="0"/>
          <w:sz w:val="20"/>
        </w:rPr>
        <w:br/>
        <w:br/>
        <w:t>(실습용 가상 보고서 — 실제 데이터가 아닙니다)</w:t>
        <w:br/>
        <w:br/>
        <w:t>영업기획팀 · 2026. 09.</w:t>
      </w:r>
    </w:p>
    <w:p>
      <w:r>
        <w:br w:type="page"/>
      </w:r>
    </w:p>
    <w:p>
      <w:pPr>
        <w:spacing w:before="360" w:after="120"/>
      </w:pPr>
      <w:r>
        <w:rPr>
          <w:rFonts w:ascii="맑은 고딕" w:hAnsi="맑은 고딕" w:eastAsia="맑은 고딕"/>
          <w:b/>
          <w:sz w:val="30"/>
        </w:rPr>
        <w:t>1. 개요</w:t>
      </w:r>
    </w:p>
    <w:p>
      <w:pPr>
        <w:spacing w:after="160"/>
      </w:pPr>
      <w:r>
        <w:rPr>
          <w:rFonts w:ascii="맑은 고딕" w:hAnsi="맑은 고딕" w:eastAsia="맑은 고딕"/>
          <w:b w:val="0"/>
          <w:sz w:val="21"/>
        </w:rPr>
        <w:t>본 보고서는 2025년 한 해 동안의 채널별·카테고리별 판매 실적을 정리하고, 이를 바탕으로 2026년 운영 방향을 검토하기 위해 작성했다. 분석 대상 기간의 총 매출은 74.3억 원이며, 4개 유통 채널(약국, 이커머스, 대형마트, H&amp;B스토어)과 5개 카테고리(구강케어, 진통·해열, 비타민·보충제, 소화·위장, 호흡기케어)를 대상으로 한다.</w:t>
      </w:r>
    </w:p>
    <w:p>
      <w:pPr>
        <w:spacing w:after="160"/>
      </w:pPr>
      <w:r>
        <w:rPr>
          <w:rFonts w:ascii="맑은 고딕" w:hAnsi="맑은 고딕" w:eastAsia="맑은 고딕"/>
          <w:b w:val="0"/>
          <w:sz w:val="21"/>
        </w:rPr>
        <w:t>보고서는 크게 세 부분으로 구성된다. 3장부터 5장까지는 실적 현황을 채널·카테고리·분기 관점에서 정리했고, 6장과 7장은 목표 대비 달성 현황과 그 과정에서 확인된 문제를 다룬다. 8장 이후는 개선 방향과 2026년 계획, 그리고 의사결정이 필요한 항목을 정리했다.</w:t>
      </w:r>
    </w:p>
    <w:p>
      <w:pPr>
        <w:spacing w:after="160"/>
      </w:pPr>
      <w:r>
        <w:rPr>
          <w:rFonts w:ascii="맑은 고딕" w:hAnsi="맑은 고딕" w:eastAsia="맑은 고딕"/>
          <w:b w:val="0"/>
          <w:sz w:val="21"/>
        </w:rPr>
        <w:t>본 보고서의 모든 수치는 첨부한 「haleon-판매데이터-더미.xlsx」에서 집계한 값이다. 요약본을 만들 때 숫자가 정확히 옮겨졌는지 이 파일과 대조할 수 있다.</w:t>
      </w:r>
    </w:p>
    <w:p>
      <w:pPr>
        <w:spacing w:before="360" w:after="120"/>
      </w:pPr>
      <w:r>
        <w:rPr>
          <w:rFonts w:ascii="맑은 고딕" w:hAnsi="맑은 고딕" w:eastAsia="맑은 고딕"/>
          <w:b/>
          <w:sz w:val="30"/>
        </w:rPr>
        <w:t>2. 추진 배경</w:t>
      </w:r>
    </w:p>
    <w:p>
      <w:pPr>
        <w:spacing w:after="160"/>
      </w:pPr>
      <w:r>
        <w:rPr>
          <w:rFonts w:ascii="맑은 고딕" w:hAnsi="맑은 고딕" w:eastAsia="맑은 고딕"/>
          <w:b w:val="0"/>
          <w:sz w:val="21"/>
        </w:rPr>
        <w:t>최근 2년간 유통 채널별 성과 편차가 확대되면서, 전 채널에 동일한 운영 기준을 적용하는 방식이 한계에 이르렀다는 문제 제기가 영업 현장에서 반복적으로 있었다. 특히 이커머스 채널의 비중이 빠르게 늘어나는 가운데, 카테고리별로는 그 성장이 고르지 않다는 점이 확인되었다.</w:t>
      </w:r>
    </w:p>
    <w:p>
      <w:pPr>
        <w:spacing w:after="160"/>
      </w:pPr>
      <w:r>
        <w:rPr>
          <w:rFonts w:ascii="맑은 고딕" w:hAnsi="맑은 고딕" w:eastAsia="맑은 고딕"/>
          <w:b w:val="0"/>
          <w:sz w:val="21"/>
        </w:rPr>
        <w:t>한편 목표 수립 방식이 채널의 특성을 충분히 반영하지 못한다는 지적도 있었다. 채널별로 목표를 세우는 기준이 서로 달라 달성률을 나란히 놓고 비교하기 어렵다는 것이다. 이 두 가지 문제의식이 본 분석의 출발점이다.</w:t>
      </w:r>
    </w:p>
    <w:p>
      <w:pPr>
        <w:pStyle w:val="ListBullet"/>
        <w:spacing w:after="80"/>
      </w:pPr>
      <w:r>
        <w:rPr>
          <w:rFonts w:ascii="맑은 고딕" w:hAnsi="맑은 고딕" w:eastAsia="맑은 고딕"/>
          <w:b w:val="0"/>
          <w:sz w:val="21"/>
        </w:rPr>
        <w:t>유통 채널별 성과 편차 확대에 따른 채널별 운영 전략의 필요성</w:t>
      </w:r>
    </w:p>
    <w:p>
      <w:pPr>
        <w:pStyle w:val="ListBullet"/>
        <w:spacing w:after="80"/>
      </w:pPr>
      <w:r>
        <w:rPr>
          <w:rFonts w:ascii="맑은 고딕" w:hAnsi="맑은 고딕" w:eastAsia="맑은 고딕"/>
          <w:b w:val="0"/>
          <w:sz w:val="21"/>
        </w:rPr>
        <w:t>이커머스 비중 확대에도 불구하고 카테고리별로 고르지 않은 성장</w:t>
      </w:r>
    </w:p>
    <w:p>
      <w:pPr>
        <w:pStyle w:val="ListBullet"/>
        <w:spacing w:after="80"/>
      </w:pPr>
      <w:r>
        <w:rPr>
          <w:rFonts w:ascii="맑은 고딕" w:hAnsi="맑은 고딕" w:eastAsia="맑은 고딕"/>
          <w:b w:val="0"/>
          <w:sz w:val="21"/>
        </w:rPr>
        <w:t>채널 특성을 반영하지 못하는 목표 수립 방식에 대한 현장 의견</w:t>
      </w:r>
    </w:p>
    <w:p>
      <w:pPr>
        <w:pStyle w:val="ListBullet"/>
        <w:spacing w:after="80"/>
      </w:pPr>
      <w:r>
        <w:rPr>
          <w:rFonts w:ascii="맑은 고딕" w:hAnsi="맑은 고딕" w:eastAsia="맑은 고딕"/>
          <w:b w:val="0"/>
          <w:sz w:val="21"/>
        </w:rPr>
        <w:t>판매 데이터와 목표 데이터의 관리 체계 분리로 인한 집계 부담</w:t>
      </w:r>
    </w:p>
    <w:p>
      <w:pPr>
        <w:spacing w:before="360" w:after="120"/>
      </w:pPr>
      <w:r>
        <w:rPr>
          <w:rFonts w:ascii="맑은 고딕" w:hAnsi="맑은 고딕" w:eastAsia="맑은 고딕"/>
          <w:b/>
          <w:sz w:val="30"/>
        </w:rPr>
        <w:t>3. 채널별 판매 현황</w:t>
      </w:r>
    </w:p>
    <w:p>
      <w:pPr>
        <w:spacing w:after="160"/>
      </w:pPr>
      <w:r>
        <w:rPr>
          <w:rFonts w:ascii="맑은 고딕" w:hAnsi="맑은 고딕" w:eastAsia="맑은 고딕"/>
          <w:b w:val="0"/>
          <w:sz w:val="21"/>
        </w:rPr>
        <w:t>2025년 총 매출은 74.3억 원이며, 채널별 구성은 다음과 같다.</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맑은 고딕" w:hAnsi="맑은 고딕" w:eastAsia="맑은 고딕"/>
                <w:b/>
                <w:sz w:val="20"/>
              </w:rPr>
              <w:t>채널</w:t>
            </w:r>
          </w:p>
        </w:tc>
        <w:tc>
          <w:tcPr>
            <w:tcW w:type="dxa" w:w="3135"/>
          </w:tcPr>
          <w:p>
            <w:r>
              <w:rPr>
                <w:rFonts w:ascii="맑은 고딕" w:hAnsi="맑은 고딕" w:eastAsia="맑은 고딕"/>
                <w:b/>
                <w:sz w:val="20"/>
              </w:rPr>
              <w:t>매출</w:t>
            </w:r>
          </w:p>
        </w:tc>
        <w:tc>
          <w:tcPr>
            <w:tcW w:type="dxa" w:w="3135"/>
          </w:tcPr>
          <w:p>
            <w:r>
              <w:rPr>
                <w:rFonts w:ascii="맑은 고딕" w:hAnsi="맑은 고딕" w:eastAsia="맑은 고딕"/>
                <w:b/>
                <w:sz w:val="20"/>
              </w:rPr>
              <w:t>비중</w:t>
            </w:r>
          </w:p>
        </w:tc>
      </w:tr>
      <w:tr>
        <w:tc>
          <w:tcPr>
            <w:tcW w:type="dxa" w:w="3135"/>
          </w:tcPr>
          <w:p>
            <w:r>
              <w:rPr>
                <w:rFonts w:ascii="맑은 고딕" w:hAnsi="맑은 고딕" w:eastAsia="맑은 고딕"/>
                <w:b w:val="0"/>
                <w:sz w:val="20"/>
              </w:rPr>
              <w:t>약국</w:t>
            </w:r>
          </w:p>
        </w:tc>
        <w:tc>
          <w:tcPr>
            <w:tcW w:type="dxa" w:w="3135"/>
          </w:tcPr>
          <w:p>
            <w:r>
              <w:rPr>
                <w:rFonts w:ascii="맑은 고딕" w:hAnsi="맑은 고딕" w:eastAsia="맑은 고딕"/>
                <w:b w:val="0"/>
                <w:sz w:val="20"/>
              </w:rPr>
              <w:t>23.6억 원</w:t>
            </w:r>
          </w:p>
        </w:tc>
        <w:tc>
          <w:tcPr>
            <w:tcW w:type="dxa" w:w="3135"/>
          </w:tcPr>
          <w:p>
            <w:r>
              <w:rPr>
                <w:rFonts w:ascii="맑은 고딕" w:hAnsi="맑은 고딕" w:eastAsia="맑은 고딕"/>
                <w:b w:val="0"/>
                <w:sz w:val="20"/>
              </w:rPr>
              <w:t>31.8%</w:t>
            </w:r>
          </w:p>
        </w:tc>
      </w:tr>
      <w:tr>
        <w:tc>
          <w:tcPr>
            <w:tcW w:type="dxa" w:w="3135"/>
          </w:tcPr>
          <w:p>
            <w:r>
              <w:rPr>
                <w:rFonts w:ascii="맑은 고딕" w:hAnsi="맑은 고딕" w:eastAsia="맑은 고딕"/>
                <w:b w:val="0"/>
                <w:sz w:val="20"/>
              </w:rPr>
              <w:t>이커머스</w:t>
            </w:r>
          </w:p>
        </w:tc>
        <w:tc>
          <w:tcPr>
            <w:tcW w:type="dxa" w:w="3135"/>
          </w:tcPr>
          <w:p>
            <w:r>
              <w:rPr>
                <w:rFonts w:ascii="맑은 고딕" w:hAnsi="맑은 고딕" w:eastAsia="맑은 고딕"/>
                <w:b w:val="0"/>
                <w:sz w:val="20"/>
              </w:rPr>
              <w:t>21.1억 원</w:t>
            </w:r>
          </w:p>
        </w:tc>
        <w:tc>
          <w:tcPr>
            <w:tcW w:type="dxa" w:w="3135"/>
          </w:tcPr>
          <w:p>
            <w:r>
              <w:rPr>
                <w:rFonts w:ascii="맑은 고딕" w:hAnsi="맑은 고딕" w:eastAsia="맑은 고딕"/>
                <w:b w:val="0"/>
                <w:sz w:val="20"/>
              </w:rPr>
              <w:t>28.4%</w:t>
            </w:r>
          </w:p>
        </w:tc>
      </w:tr>
      <w:tr>
        <w:tc>
          <w:tcPr>
            <w:tcW w:type="dxa" w:w="3135"/>
          </w:tcPr>
          <w:p>
            <w:r>
              <w:rPr>
                <w:rFonts w:ascii="맑은 고딕" w:hAnsi="맑은 고딕" w:eastAsia="맑은 고딕"/>
                <w:b w:val="0"/>
                <w:sz w:val="20"/>
              </w:rPr>
              <w:t>대형마트</w:t>
            </w:r>
          </w:p>
        </w:tc>
        <w:tc>
          <w:tcPr>
            <w:tcW w:type="dxa" w:w="3135"/>
          </w:tcPr>
          <w:p>
            <w:r>
              <w:rPr>
                <w:rFonts w:ascii="맑은 고딕" w:hAnsi="맑은 고딕" w:eastAsia="맑은 고딕"/>
                <w:b w:val="0"/>
                <w:sz w:val="20"/>
              </w:rPr>
              <w:t>17.5억 원</w:t>
            </w:r>
          </w:p>
        </w:tc>
        <w:tc>
          <w:tcPr>
            <w:tcW w:type="dxa" w:w="3135"/>
          </w:tcPr>
          <w:p>
            <w:r>
              <w:rPr>
                <w:rFonts w:ascii="맑은 고딕" w:hAnsi="맑은 고딕" w:eastAsia="맑은 고딕"/>
                <w:b w:val="0"/>
                <w:sz w:val="20"/>
              </w:rPr>
              <w:t>23.6%</w:t>
            </w:r>
          </w:p>
        </w:tc>
      </w:tr>
      <w:tr>
        <w:tc>
          <w:tcPr>
            <w:tcW w:type="dxa" w:w="3135"/>
          </w:tcPr>
          <w:p>
            <w:r>
              <w:rPr>
                <w:rFonts w:ascii="맑은 고딕" w:hAnsi="맑은 고딕" w:eastAsia="맑은 고딕"/>
                <w:b w:val="0"/>
                <w:sz w:val="20"/>
              </w:rPr>
              <w:t>H&amp;B스토어</w:t>
            </w:r>
          </w:p>
        </w:tc>
        <w:tc>
          <w:tcPr>
            <w:tcW w:type="dxa" w:w="3135"/>
          </w:tcPr>
          <w:p>
            <w:r>
              <w:rPr>
                <w:rFonts w:ascii="맑은 고딕" w:hAnsi="맑은 고딕" w:eastAsia="맑은 고딕"/>
                <w:b w:val="0"/>
                <w:sz w:val="20"/>
              </w:rPr>
              <w:t>12.0억 원</w:t>
            </w:r>
          </w:p>
        </w:tc>
        <w:tc>
          <w:tcPr>
            <w:tcW w:type="dxa" w:w="3135"/>
          </w:tcPr>
          <w:p>
            <w:r>
              <w:rPr>
                <w:rFonts w:ascii="맑은 고딕" w:hAnsi="맑은 고딕" w:eastAsia="맑은 고딕"/>
                <w:b w:val="0"/>
                <w:sz w:val="20"/>
              </w:rPr>
              <w:t>16.2%</w:t>
            </w:r>
          </w:p>
        </w:tc>
      </w:tr>
    </w:tbl>
    <w:p/>
    <w:p>
      <w:pPr>
        <w:spacing w:after="160"/>
      </w:pPr>
      <w:r>
        <w:rPr>
          <w:rFonts w:ascii="맑은 고딕" w:hAnsi="맑은 고딕" w:eastAsia="맑은 고딕"/>
          <w:b w:val="0"/>
          <w:sz w:val="21"/>
        </w:rPr>
        <w:t>약국 채널이 23.6억 원으로 가장 큰 비중을 차지했고, H&amp;B스토어 채널이 12.0억 원으로 가장 작았다. 두 채널의 격차는 1.97배다.</w:t>
      </w:r>
    </w:p>
    <w:p>
      <w:pPr>
        <w:spacing w:after="160"/>
      </w:pPr>
      <w:r>
        <w:rPr>
          <w:rFonts w:ascii="맑은 고딕" w:hAnsi="맑은 고딕" w:eastAsia="맑은 고딕"/>
          <w:b w:val="0"/>
          <w:sz w:val="21"/>
        </w:rPr>
        <w:t>다만 채널별 절대 규모만으로 성과를 판단하기는 어렵다. 채널마다 취급 카테고리 구성이 다르고, 마진 구조도 동일하지 않기 때문이다. 예를 들어 H&amp;B스토어는 매출 규모는 가장 작지만 비타민·보충제 카테고리의 비중이 높아 카테고리 전략 측면에서는 별도의 검토가 필요하다.</w:t>
      </w:r>
    </w:p>
    <w:p>
      <w:pPr>
        <w:spacing w:after="160"/>
      </w:pPr>
      <w:r>
        <w:rPr>
          <w:rFonts w:ascii="맑은 고딕" w:hAnsi="맑은 고딕" w:eastAsia="맑은 고딕"/>
          <w:b w:val="0"/>
          <w:sz w:val="21"/>
        </w:rPr>
        <w:t>이커머스 채널은 비타민·보충제와 구강케어에 매출이 집중되어 있고, 진통·해열과 소화·위장 카테고리의 비중은 낮게 나타났다. 오프라인 구매가 여전히 우세한 카테고리가 존재한다는 뜻으로, 채널별로 밀어야 할 카테고리를 구분할 필요가 있음을 시사한다.</w:t>
      </w:r>
    </w:p>
    <w:p>
      <w:pPr>
        <w:spacing w:before="360" w:after="120"/>
      </w:pPr>
      <w:r>
        <w:rPr>
          <w:rFonts w:ascii="맑은 고딕" w:hAnsi="맑은 고딕" w:eastAsia="맑은 고딕"/>
          <w:b/>
          <w:sz w:val="30"/>
        </w:rPr>
        <w:t>4. 카테고리별 판매 현황</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맑은 고딕" w:hAnsi="맑은 고딕" w:eastAsia="맑은 고딕"/>
                <w:b/>
                <w:sz w:val="20"/>
              </w:rPr>
              <w:t>카테고리</w:t>
            </w:r>
          </w:p>
        </w:tc>
        <w:tc>
          <w:tcPr>
            <w:tcW w:type="dxa" w:w="3135"/>
          </w:tcPr>
          <w:p>
            <w:r>
              <w:rPr>
                <w:rFonts w:ascii="맑은 고딕" w:hAnsi="맑은 고딕" w:eastAsia="맑은 고딕"/>
                <w:b/>
                <w:sz w:val="20"/>
              </w:rPr>
              <w:t>매출</w:t>
            </w:r>
          </w:p>
        </w:tc>
        <w:tc>
          <w:tcPr>
            <w:tcW w:type="dxa" w:w="3135"/>
          </w:tcPr>
          <w:p>
            <w:r>
              <w:rPr>
                <w:rFonts w:ascii="맑은 고딕" w:hAnsi="맑은 고딕" w:eastAsia="맑은 고딕"/>
                <w:b/>
                <w:sz w:val="20"/>
              </w:rPr>
              <w:t>비중</w:t>
            </w:r>
          </w:p>
        </w:tc>
      </w:tr>
      <w:tr>
        <w:tc>
          <w:tcPr>
            <w:tcW w:type="dxa" w:w="3135"/>
          </w:tcPr>
          <w:p>
            <w:r>
              <w:rPr>
                <w:rFonts w:ascii="맑은 고딕" w:hAnsi="맑은 고딕" w:eastAsia="맑은 고딕"/>
                <w:b w:val="0"/>
                <w:sz w:val="20"/>
              </w:rPr>
              <w:t>비타민·보충제</w:t>
            </w:r>
          </w:p>
        </w:tc>
        <w:tc>
          <w:tcPr>
            <w:tcW w:type="dxa" w:w="3135"/>
          </w:tcPr>
          <w:p>
            <w:r>
              <w:rPr>
                <w:rFonts w:ascii="맑은 고딕" w:hAnsi="맑은 고딕" w:eastAsia="맑은 고딕"/>
                <w:b w:val="0"/>
                <w:sz w:val="20"/>
              </w:rPr>
              <w:t>21.7억 원</w:t>
            </w:r>
          </w:p>
        </w:tc>
        <w:tc>
          <w:tcPr>
            <w:tcW w:type="dxa" w:w="3135"/>
          </w:tcPr>
          <w:p>
            <w:r>
              <w:rPr>
                <w:rFonts w:ascii="맑은 고딕" w:hAnsi="맑은 고딕" w:eastAsia="맑은 고딕"/>
                <w:b w:val="0"/>
                <w:sz w:val="20"/>
              </w:rPr>
              <w:t>29.2%</w:t>
            </w:r>
          </w:p>
        </w:tc>
      </w:tr>
      <w:tr>
        <w:tc>
          <w:tcPr>
            <w:tcW w:type="dxa" w:w="3135"/>
          </w:tcPr>
          <w:p>
            <w:r>
              <w:rPr>
                <w:rFonts w:ascii="맑은 고딕" w:hAnsi="맑은 고딕" w:eastAsia="맑은 고딕"/>
                <w:b w:val="0"/>
                <w:sz w:val="20"/>
              </w:rPr>
              <w:t>구강케어</w:t>
            </w:r>
          </w:p>
        </w:tc>
        <w:tc>
          <w:tcPr>
            <w:tcW w:type="dxa" w:w="3135"/>
          </w:tcPr>
          <w:p>
            <w:r>
              <w:rPr>
                <w:rFonts w:ascii="맑은 고딕" w:hAnsi="맑은 고딕" w:eastAsia="맑은 고딕"/>
                <w:b w:val="0"/>
                <w:sz w:val="20"/>
              </w:rPr>
              <w:t>18.6억 원</w:t>
            </w:r>
          </w:p>
        </w:tc>
        <w:tc>
          <w:tcPr>
            <w:tcW w:type="dxa" w:w="3135"/>
          </w:tcPr>
          <w:p>
            <w:r>
              <w:rPr>
                <w:rFonts w:ascii="맑은 고딕" w:hAnsi="맑은 고딕" w:eastAsia="맑은 고딕"/>
                <w:b w:val="0"/>
                <w:sz w:val="20"/>
              </w:rPr>
              <w:t>25.0%</w:t>
            </w:r>
          </w:p>
        </w:tc>
      </w:tr>
      <w:tr>
        <w:tc>
          <w:tcPr>
            <w:tcW w:type="dxa" w:w="3135"/>
          </w:tcPr>
          <w:p>
            <w:r>
              <w:rPr>
                <w:rFonts w:ascii="맑은 고딕" w:hAnsi="맑은 고딕" w:eastAsia="맑은 고딕"/>
                <w:b w:val="0"/>
                <w:sz w:val="20"/>
              </w:rPr>
              <w:t>진통·해열</w:t>
            </w:r>
          </w:p>
        </w:tc>
        <w:tc>
          <w:tcPr>
            <w:tcW w:type="dxa" w:w="3135"/>
          </w:tcPr>
          <w:p>
            <w:r>
              <w:rPr>
                <w:rFonts w:ascii="맑은 고딕" w:hAnsi="맑은 고딕" w:eastAsia="맑은 고딕"/>
                <w:b w:val="0"/>
                <w:sz w:val="20"/>
              </w:rPr>
              <w:t>13.3억 원</w:t>
            </w:r>
          </w:p>
        </w:tc>
        <w:tc>
          <w:tcPr>
            <w:tcW w:type="dxa" w:w="3135"/>
          </w:tcPr>
          <w:p>
            <w:r>
              <w:rPr>
                <w:rFonts w:ascii="맑은 고딕" w:hAnsi="맑은 고딕" w:eastAsia="맑은 고딕"/>
                <w:b w:val="0"/>
                <w:sz w:val="20"/>
              </w:rPr>
              <w:t>17.8%</w:t>
            </w:r>
          </w:p>
        </w:tc>
      </w:tr>
      <w:tr>
        <w:tc>
          <w:tcPr>
            <w:tcW w:type="dxa" w:w="3135"/>
          </w:tcPr>
          <w:p>
            <w:r>
              <w:rPr>
                <w:rFonts w:ascii="맑은 고딕" w:hAnsi="맑은 고딕" w:eastAsia="맑은 고딕"/>
                <w:b w:val="0"/>
                <w:sz w:val="20"/>
              </w:rPr>
              <w:t>소화·위장</w:t>
            </w:r>
          </w:p>
        </w:tc>
        <w:tc>
          <w:tcPr>
            <w:tcW w:type="dxa" w:w="3135"/>
          </w:tcPr>
          <w:p>
            <w:r>
              <w:rPr>
                <w:rFonts w:ascii="맑은 고딕" w:hAnsi="맑은 고딕" w:eastAsia="맑은 고딕"/>
                <w:b w:val="0"/>
                <w:sz w:val="20"/>
              </w:rPr>
              <w:t>11.2억 원</w:t>
            </w:r>
          </w:p>
        </w:tc>
        <w:tc>
          <w:tcPr>
            <w:tcW w:type="dxa" w:w="3135"/>
          </w:tcPr>
          <w:p>
            <w:r>
              <w:rPr>
                <w:rFonts w:ascii="맑은 고딕" w:hAnsi="맑은 고딕" w:eastAsia="맑은 고딕"/>
                <w:b w:val="0"/>
                <w:sz w:val="20"/>
              </w:rPr>
              <w:t>15.0%</w:t>
            </w:r>
          </w:p>
        </w:tc>
      </w:tr>
      <w:tr>
        <w:tc>
          <w:tcPr>
            <w:tcW w:type="dxa" w:w="3135"/>
          </w:tcPr>
          <w:p>
            <w:r>
              <w:rPr>
                <w:rFonts w:ascii="맑은 고딕" w:hAnsi="맑은 고딕" w:eastAsia="맑은 고딕"/>
                <w:b w:val="0"/>
                <w:sz w:val="20"/>
              </w:rPr>
              <w:t>호흡기케어</w:t>
            </w:r>
          </w:p>
        </w:tc>
        <w:tc>
          <w:tcPr>
            <w:tcW w:type="dxa" w:w="3135"/>
          </w:tcPr>
          <w:p>
            <w:r>
              <w:rPr>
                <w:rFonts w:ascii="맑은 고딕" w:hAnsi="맑은 고딕" w:eastAsia="맑은 고딕"/>
                <w:b w:val="0"/>
                <w:sz w:val="20"/>
              </w:rPr>
              <w:t>9.6억 원</w:t>
            </w:r>
          </w:p>
        </w:tc>
        <w:tc>
          <w:tcPr>
            <w:tcW w:type="dxa" w:w="3135"/>
          </w:tcPr>
          <w:p>
            <w:r>
              <w:rPr>
                <w:rFonts w:ascii="맑은 고딕" w:hAnsi="맑은 고딕" w:eastAsia="맑은 고딕"/>
                <w:b w:val="0"/>
                <w:sz w:val="20"/>
              </w:rPr>
              <w:t>12.9%</w:t>
            </w:r>
          </w:p>
        </w:tc>
      </w:tr>
    </w:tbl>
    <w:p/>
    <w:p>
      <w:pPr>
        <w:spacing w:after="160"/>
      </w:pPr>
      <w:r>
        <w:rPr>
          <w:rFonts w:ascii="맑은 고딕" w:hAnsi="맑은 고딕" w:eastAsia="맑은 고딕"/>
          <w:b w:val="0"/>
          <w:sz w:val="21"/>
        </w:rPr>
        <w:t>비타민·보충제가 21.7억 원으로 가장 큰 비중을 차지했다. 카테고리 간 격차는 채널 간 격차보다 완만한 편이나, 이는 연간 합계 기준이라는 점을 감안해야 한다.</w:t>
      </w:r>
    </w:p>
    <w:p>
      <w:pPr>
        <w:spacing w:after="160"/>
      </w:pPr>
      <w:r>
        <w:rPr>
          <w:rFonts w:ascii="맑은 고딕" w:hAnsi="맑은 고딕" w:eastAsia="맑은 고딕"/>
          <w:b w:val="0"/>
          <w:sz w:val="21"/>
        </w:rPr>
        <w:t>특히 호흡기케어는 연간 합계로는 중위권이지만 계절 편차가 가장 크다. 1월 매출이 1.2억 원인 반면 7월은 0.4억 원으로 3.2배 차이가 난다. 연간 평균으로 재고와 목표를 운영하면 겨울에는 결품이, 여름에는 과잉 재고가 발생하는 구조다.</w:t>
      </w:r>
    </w:p>
    <w:p>
      <w:pPr>
        <w:spacing w:after="160"/>
      </w:pPr>
      <w:r>
        <w:rPr>
          <w:rFonts w:ascii="맑은 고딕" w:hAnsi="맑은 고딕" w:eastAsia="맑은 고딕"/>
          <w:b w:val="0"/>
          <w:sz w:val="21"/>
        </w:rPr>
        <w:t>비타민·보충제는 연초에 매출이 집중되는 경향이 뚜렷하다. 새해 건강 관리 수요와 관련이 있는 것으로 보이며, 이 시기에 맞춘 프로모션 설계가 효과적일 것으로 판단된다. 반면 구강케어와 소화·위장은 계절 편차가 작아 연중 고른 운영이 가능하다.</w:t>
      </w:r>
    </w:p>
    <w:p>
      <w:pPr>
        <w:spacing w:before="360" w:after="120"/>
      </w:pPr>
      <w:r>
        <w:rPr>
          <w:rFonts w:ascii="맑은 고딕" w:hAnsi="맑은 고딕" w:eastAsia="맑은 고딕"/>
          <w:b/>
          <w:sz w:val="30"/>
        </w:rPr>
        <w:t>5. 분기별 추이</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맑은 고딕" w:hAnsi="맑은 고딕" w:eastAsia="맑은 고딕"/>
                <w:b/>
                <w:sz w:val="20"/>
              </w:rPr>
              <w:t>분기</w:t>
            </w:r>
          </w:p>
        </w:tc>
        <w:tc>
          <w:tcPr>
            <w:tcW w:type="dxa" w:w="3135"/>
          </w:tcPr>
          <w:p>
            <w:r>
              <w:rPr>
                <w:rFonts w:ascii="맑은 고딕" w:hAnsi="맑은 고딕" w:eastAsia="맑은 고딕"/>
                <w:b/>
                <w:sz w:val="20"/>
              </w:rPr>
              <w:t>매출</w:t>
            </w:r>
          </w:p>
        </w:tc>
        <w:tc>
          <w:tcPr>
            <w:tcW w:type="dxa" w:w="3135"/>
          </w:tcPr>
          <w:p>
            <w:r>
              <w:rPr>
                <w:rFonts w:ascii="맑은 고딕" w:hAnsi="맑은 고딕" w:eastAsia="맑은 고딕"/>
                <w:b/>
                <w:sz w:val="20"/>
              </w:rPr>
              <w:t>비중</w:t>
            </w:r>
          </w:p>
        </w:tc>
      </w:tr>
      <w:tr>
        <w:tc>
          <w:tcPr>
            <w:tcW w:type="dxa" w:w="3135"/>
          </w:tcPr>
          <w:p>
            <w:r>
              <w:rPr>
                <w:rFonts w:ascii="맑은 고딕" w:hAnsi="맑은 고딕" w:eastAsia="맑은 고딕"/>
                <w:b w:val="0"/>
                <w:sz w:val="20"/>
              </w:rPr>
              <w:t>Q1</w:t>
            </w:r>
          </w:p>
        </w:tc>
        <w:tc>
          <w:tcPr>
            <w:tcW w:type="dxa" w:w="3135"/>
          </w:tcPr>
          <w:p>
            <w:r>
              <w:rPr>
                <w:rFonts w:ascii="맑은 고딕" w:hAnsi="맑은 고딕" w:eastAsia="맑은 고딕"/>
                <w:b w:val="0"/>
                <w:sz w:val="20"/>
              </w:rPr>
              <w:t>19.9억 원</w:t>
            </w:r>
          </w:p>
        </w:tc>
        <w:tc>
          <w:tcPr>
            <w:tcW w:type="dxa" w:w="3135"/>
          </w:tcPr>
          <w:p>
            <w:r>
              <w:rPr>
                <w:rFonts w:ascii="맑은 고딕" w:hAnsi="맑은 고딕" w:eastAsia="맑은 고딕"/>
                <w:b w:val="0"/>
                <w:sz w:val="20"/>
              </w:rPr>
              <w:t>26.8%</w:t>
            </w:r>
          </w:p>
        </w:tc>
      </w:tr>
      <w:tr>
        <w:tc>
          <w:tcPr>
            <w:tcW w:type="dxa" w:w="3135"/>
          </w:tcPr>
          <w:p>
            <w:r>
              <w:rPr>
                <w:rFonts w:ascii="맑은 고딕" w:hAnsi="맑은 고딕" w:eastAsia="맑은 고딕"/>
                <w:b w:val="0"/>
                <w:sz w:val="20"/>
              </w:rPr>
              <w:t>Q2</w:t>
            </w:r>
          </w:p>
        </w:tc>
        <w:tc>
          <w:tcPr>
            <w:tcW w:type="dxa" w:w="3135"/>
          </w:tcPr>
          <w:p>
            <w:r>
              <w:rPr>
                <w:rFonts w:ascii="맑은 고딕" w:hAnsi="맑은 고딕" w:eastAsia="맑은 고딕"/>
                <w:b w:val="0"/>
                <w:sz w:val="20"/>
              </w:rPr>
              <w:t>16.7억 원</w:t>
            </w:r>
          </w:p>
        </w:tc>
        <w:tc>
          <w:tcPr>
            <w:tcW w:type="dxa" w:w="3135"/>
          </w:tcPr>
          <w:p>
            <w:r>
              <w:rPr>
                <w:rFonts w:ascii="맑은 고딕" w:hAnsi="맑은 고딕" w:eastAsia="맑은 고딕"/>
                <w:b w:val="0"/>
                <w:sz w:val="20"/>
              </w:rPr>
              <w:t>22.5%</w:t>
            </w:r>
          </w:p>
        </w:tc>
      </w:tr>
      <w:tr>
        <w:tc>
          <w:tcPr>
            <w:tcW w:type="dxa" w:w="3135"/>
          </w:tcPr>
          <w:p>
            <w:r>
              <w:rPr>
                <w:rFonts w:ascii="맑은 고딕" w:hAnsi="맑은 고딕" w:eastAsia="맑은 고딕"/>
                <w:b w:val="0"/>
                <w:sz w:val="20"/>
              </w:rPr>
              <w:t>Q3</w:t>
            </w:r>
          </w:p>
        </w:tc>
        <w:tc>
          <w:tcPr>
            <w:tcW w:type="dxa" w:w="3135"/>
          </w:tcPr>
          <w:p>
            <w:r>
              <w:rPr>
                <w:rFonts w:ascii="맑은 고딕" w:hAnsi="맑은 고딕" w:eastAsia="맑은 고딕"/>
                <w:b w:val="0"/>
                <w:sz w:val="20"/>
              </w:rPr>
              <w:t>16.8억 원</w:t>
            </w:r>
          </w:p>
        </w:tc>
        <w:tc>
          <w:tcPr>
            <w:tcW w:type="dxa" w:w="3135"/>
          </w:tcPr>
          <w:p>
            <w:r>
              <w:rPr>
                <w:rFonts w:ascii="맑은 고딕" w:hAnsi="맑은 고딕" w:eastAsia="맑은 고딕"/>
                <w:b w:val="0"/>
                <w:sz w:val="20"/>
              </w:rPr>
              <w:t>22.6%</w:t>
            </w:r>
          </w:p>
        </w:tc>
      </w:tr>
      <w:tr>
        <w:tc>
          <w:tcPr>
            <w:tcW w:type="dxa" w:w="3135"/>
          </w:tcPr>
          <w:p>
            <w:r>
              <w:rPr>
                <w:rFonts w:ascii="맑은 고딕" w:hAnsi="맑은 고딕" w:eastAsia="맑은 고딕"/>
                <w:b w:val="0"/>
                <w:sz w:val="20"/>
              </w:rPr>
              <w:t>Q4</w:t>
            </w:r>
          </w:p>
        </w:tc>
        <w:tc>
          <w:tcPr>
            <w:tcW w:type="dxa" w:w="3135"/>
          </w:tcPr>
          <w:p>
            <w:r>
              <w:rPr>
                <w:rFonts w:ascii="맑은 고딕" w:hAnsi="맑은 고딕" w:eastAsia="맑은 고딕"/>
                <w:b w:val="0"/>
                <w:sz w:val="20"/>
              </w:rPr>
              <w:t>20.9억 원</w:t>
            </w:r>
          </w:p>
        </w:tc>
        <w:tc>
          <w:tcPr>
            <w:tcW w:type="dxa" w:w="3135"/>
          </w:tcPr>
          <w:p>
            <w:r>
              <w:rPr>
                <w:rFonts w:ascii="맑은 고딕" w:hAnsi="맑은 고딕" w:eastAsia="맑은 고딕"/>
                <w:b w:val="0"/>
                <w:sz w:val="20"/>
              </w:rPr>
              <w:t>28.1%</w:t>
            </w:r>
          </w:p>
        </w:tc>
      </w:tr>
    </w:tbl>
    <w:p/>
    <w:p>
      <w:pPr>
        <w:spacing w:after="160"/>
      </w:pPr>
      <w:r>
        <w:rPr>
          <w:rFonts w:ascii="맑은 고딕" w:hAnsi="맑은 고딕" w:eastAsia="맑은 고딕"/>
          <w:b w:val="0"/>
          <w:sz w:val="21"/>
        </w:rPr>
        <w:t>Q1이 19.9억 원으로 가장 높고 Q3가 16.8억 원으로 가장 낮다. 호흡기케어와 비타민·보충제의 계절성이 이 편차를 대부분 설명한다. 두 카테고리를 제외하면 분기별 편차는 크게 줄어든다.</w:t>
      </w:r>
    </w:p>
    <w:p>
      <w:pPr>
        <w:spacing w:after="160"/>
      </w:pPr>
      <w:r>
        <w:rPr>
          <w:rFonts w:ascii="맑은 고딕" w:hAnsi="맑은 고딕" w:eastAsia="맑은 고딕"/>
          <w:b w:val="0"/>
          <w:sz w:val="21"/>
        </w:rPr>
        <w:t>분기별 편차 자체가 문제는 아니다. 문제는 이 편차가 목표 배분에 반영되지 않는다는 점이다. 현재 월 목표는 연간 목표를 12로 나눈 균등 배분 방식이어서, 계절성이 큰 카테고리에서는 특정 월에 구조적인 미달 또는 초과가 반복적으로 발생한다.</w:t>
      </w:r>
    </w:p>
    <w:p>
      <w:pPr>
        <w:spacing w:before="360" w:after="120"/>
      </w:pPr>
      <w:r>
        <w:rPr>
          <w:rFonts w:ascii="맑은 고딕" w:hAnsi="맑은 고딕" w:eastAsia="맑은 고딕"/>
          <w:b/>
          <w:sz w:val="30"/>
        </w:rPr>
        <w:t>6. 목표 대비 달성 현황</w:t>
      </w:r>
    </w:p>
    <w:p>
      <w:pPr>
        <w:spacing w:after="160"/>
      </w:pPr>
      <w:r>
        <w:rPr>
          <w:rFonts w:ascii="맑은 고딕" w:hAnsi="맑은 고딕" w:eastAsia="맑은 고딕"/>
          <w:b w:val="0"/>
          <w:sz w:val="21"/>
        </w:rPr>
        <w:t>2025년 전체 목표 대비 달성률은 101.3%다. 전체 수치로는 목표에 근접했으나, 채널별·월별로 들어가면 편차가 크게 나타난다.</w:t>
      </w:r>
    </w:p>
    <w:p>
      <w:pPr>
        <w:spacing w:after="160"/>
      </w:pPr>
      <w:r>
        <w:rPr>
          <w:rFonts w:ascii="맑은 고딕" w:hAnsi="맑은 고딕" w:eastAsia="맑은 고딕"/>
          <w:b w:val="0"/>
          <w:sz w:val="21"/>
        </w:rPr>
        <w:t>달성률을 해석할 때 주의할 점이 두 가지 있다. 첫째, 목표 수립 시점의 기준이 채널마다 달라 단순 비교에는 한계가 있다. 전년 실적을 기준으로 잡은 채널과 시장 성장률을 기준으로 잡은 채널이 섞여 있기 때문이다.</w:t>
      </w:r>
    </w:p>
    <w:p>
      <w:pPr>
        <w:spacing w:after="160"/>
      </w:pPr>
      <w:r>
        <w:rPr>
          <w:rFonts w:ascii="맑은 고딕" w:hAnsi="맑은 고딕" w:eastAsia="맑은 고딕"/>
          <w:b w:val="0"/>
          <w:sz w:val="21"/>
        </w:rPr>
        <w:t>둘째, 원본 데이터의 목표 항목 중 2건이 비어 있다. 해당 구간은 이번 집계에서 달성률 산정 대상에서 제외했다. 비어 있는 목표를 0으로 볼 것인지 제외할 것인지에 따라 전체 달성률이 달라지므로, 이 처리 방식을 그대로 유지할지 여부는 별도 결정이 필요하다.</w:t>
      </w:r>
    </w:p>
    <w:p>
      <w:pPr>
        <w:spacing w:before="360" w:after="120"/>
      </w:pPr>
      <w:r>
        <w:rPr>
          <w:rFonts w:ascii="맑은 고딕" w:hAnsi="맑은 고딕" w:eastAsia="맑은 고딕"/>
          <w:b/>
          <w:sz w:val="30"/>
        </w:rPr>
        <w:t>7. 주요 이슈</w:t>
      </w:r>
    </w:p>
    <w:p>
      <w:pPr>
        <w:spacing w:before="240" w:after="120"/>
      </w:pPr>
      <w:r>
        <w:rPr>
          <w:rFonts w:ascii="맑은 고딕" w:hAnsi="맑은 고딕" w:eastAsia="맑은 고딕"/>
          <w:b/>
          <w:sz w:val="25"/>
        </w:rPr>
        <w:t>7-1. 목표 설정 기준의 불일치</w:t>
      </w:r>
    </w:p>
    <w:p>
      <w:pPr>
        <w:spacing w:after="160"/>
      </w:pPr>
      <w:r>
        <w:rPr>
          <w:rFonts w:ascii="맑은 고딕" w:hAnsi="맑은 고딕" w:eastAsia="맑은 고딕"/>
          <w:b w:val="0"/>
          <w:sz w:val="21"/>
        </w:rPr>
        <w:t>채널별로 목표 수립 방식이 달라 달성률을 나란히 놓고 비교하기 어렵다. 전년 실적 기준으로 잡은 채널과 시장 성장률 기준으로 잡은 채널이 섞여 있어, 달성률이 높은 채널이 실제로 더 잘한 것인지 목표가 낮았던 것인지 구분되지 않는다. 이는 성과 평가와 자원 배분 모두에 영향을 미친다.</w:t>
      </w:r>
    </w:p>
    <w:p>
      <w:pPr>
        <w:spacing w:before="240" w:after="120"/>
      </w:pPr>
      <w:r>
        <w:rPr>
          <w:rFonts w:ascii="맑은 고딕" w:hAnsi="맑은 고딕" w:eastAsia="맑은 고딕"/>
          <w:b/>
          <w:sz w:val="25"/>
        </w:rPr>
        <w:t>7-2. 데이터 품질</w:t>
      </w:r>
    </w:p>
    <w:p>
      <w:pPr>
        <w:spacing w:after="160"/>
      </w:pPr>
      <w:r>
        <w:rPr>
          <w:rFonts w:ascii="맑은 고딕" w:hAnsi="맑은 고딕" w:eastAsia="맑은 고딕"/>
          <w:b w:val="0"/>
          <w:sz w:val="21"/>
        </w:rPr>
        <w:t>판매 데이터와 목표 데이터가 서로 다른 시스템에서 관리되어 채널명 표기가 통일되어 있지 않다. 집계할 때마다 수작업 대조가 발생하고, 그 과정에서 누락이나 중복이 생길 여지가 있다. 실제로 이번 분석에서도 채널명 매칭에 상당한 시간이 소요되었다.</w:t>
      </w:r>
    </w:p>
    <w:p>
      <w:pPr>
        <w:spacing w:before="240" w:after="120"/>
      </w:pPr>
      <w:r>
        <w:rPr>
          <w:rFonts w:ascii="맑은 고딕" w:hAnsi="맑은 고딕" w:eastAsia="맑은 고딕"/>
          <w:b/>
          <w:sz w:val="25"/>
        </w:rPr>
        <w:t>7-3. 계절성 반영 부족</w:t>
      </w:r>
    </w:p>
    <w:p>
      <w:pPr>
        <w:spacing w:after="160"/>
      </w:pPr>
      <w:r>
        <w:rPr>
          <w:rFonts w:ascii="맑은 고딕" w:hAnsi="맑은 고딕" w:eastAsia="맑은 고딕"/>
          <w:b w:val="0"/>
          <w:sz w:val="21"/>
        </w:rPr>
        <w:t>월 목표가 연간 목표의 1/12로 균등 배분되어 있어, 계절성이 큰 카테고리에서 특정 월에 과도한 미달 또는 초과가 나타난다. 현장에서는 이를 "달성 불가능한 여름 목표"로 인식하고 있으며, 목표에 대한 신뢰를 떨어뜨리는 요인이 되고 있다.</w:t>
      </w:r>
    </w:p>
    <w:p>
      <w:pPr>
        <w:spacing w:before="360" w:after="120"/>
      </w:pPr>
      <w:r>
        <w:rPr>
          <w:rFonts w:ascii="맑은 고딕" w:hAnsi="맑은 고딕" w:eastAsia="맑은 고딕"/>
          <w:b/>
          <w:sz w:val="30"/>
        </w:rPr>
        <w:t>8. 개선 방향</w:t>
      </w:r>
    </w:p>
    <w:p>
      <w:pPr>
        <w:pStyle w:val="ListBullet"/>
        <w:spacing w:after="80"/>
      </w:pPr>
      <w:r>
        <w:rPr>
          <w:rFonts w:ascii="맑은 고딕" w:hAnsi="맑은 고딕" w:eastAsia="맑은 고딕"/>
          <w:b w:val="0"/>
          <w:sz w:val="21"/>
        </w:rPr>
        <w:t>목표 수립 기준을 채널 구분 없이 통일한다. 기준안은 영업기획팀에서 10월 중 제시한다.</w:t>
      </w:r>
    </w:p>
    <w:p>
      <w:pPr>
        <w:pStyle w:val="ListBullet"/>
        <w:spacing w:after="80"/>
      </w:pPr>
      <w:r>
        <w:rPr>
          <w:rFonts w:ascii="맑은 고딕" w:hAnsi="맑은 고딕" w:eastAsia="맑은 고딕"/>
          <w:b w:val="0"/>
          <w:sz w:val="21"/>
        </w:rPr>
        <w:t>판매·목표 데이터의 채널명 표기 체계를 하나로 정리하고, 마스터 코드를 지정한다.</w:t>
      </w:r>
    </w:p>
    <w:p>
      <w:pPr>
        <w:pStyle w:val="ListBullet"/>
        <w:spacing w:after="80"/>
      </w:pPr>
      <w:r>
        <w:rPr>
          <w:rFonts w:ascii="맑은 고딕" w:hAnsi="맑은 고딕" w:eastAsia="맑은 고딕"/>
          <w:b w:val="0"/>
          <w:sz w:val="21"/>
        </w:rPr>
        <w:t>계절성이 큰 카테고리는 월 목표를 계절 지수로 보정해 배분한다.</w:t>
      </w:r>
    </w:p>
    <w:p>
      <w:pPr>
        <w:pStyle w:val="ListBullet"/>
        <w:spacing w:after="80"/>
      </w:pPr>
      <w:r>
        <w:rPr>
          <w:rFonts w:ascii="맑은 고딕" w:hAnsi="맑은 고딕" w:eastAsia="맑은 고딕"/>
          <w:b w:val="0"/>
          <w:sz w:val="21"/>
        </w:rPr>
        <w:t>달성률 산정에서 목표가 비어 있는 구간을 어떻게 처리할지 규칙을 문서화한다.</w:t>
      </w:r>
    </w:p>
    <w:p>
      <w:pPr>
        <w:pStyle w:val="ListBullet"/>
        <w:spacing w:after="80"/>
      </w:pPr>
      <w:r>
        <w:rPr>
          <w:rFonts w:ascii="맑은 고딕" w:hAnsi="맑은 고딕" w:eastAsia="맑은 고딕"/>
          <w:b w:val="0"/>
          <w:sz w:val="21"/>
        </w:rPr>
        <w:t>채널별 카테고리 구성 차이를 반영한 보조 지표를 추가로 도입한다.</w:t>
      </w:r>
    </w:p>
    <w:p>
      <w:pPr>
        <w:spacing w:before="360" w:after="120"/>
      </w:pPr>
      <w:r>
        <w:rPr>
          <w:rFonts w:ascii="맑은 고딕" w:hAnsi="맑은 고딕" w:eastAsia="맑은 고딕"/>
          <w:b/>
          <w:sz w:val="30"/>
        </w:rPr>
        <w:t>9. 2026년 운영 계획</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맑은 고딕" w:hAnsi="맑은 고딕" w:eastAsia="맑은 고딕"/>
                <w:b/>
                <w:sz w:val="20"/>
              </w:rPr>
              <w:t>구분</w:t>
            </w:r>
          </w:p>
        </w:tc>
        <w:tc>
          <w:tcPr>
            <w:tcW w:type="dxa" w:w="3135"/>
          </w:tcPr>
          <w:p>
            <w:r>
              <w:rPr>
                <w:rFonts w:ascii="맑은 고딕" w:hAnsi="맑은 고딕" w:eastAsia="맑은 고딕"/>
                <w:b/>
                <w:sz w:val="20"/>
              </w:rPr>
              <w:t>내용</w:t>
            </w:r>
          </w:p>
        </w:tc>
        <w:tc>
          <w:tcPr>
            <w:tcW w:type="dxa" w:w="3135"/>
          </w:tcPr>
          <w:p>
            <w:r>
              <w:rPr>
                <w:rFonts w:ascii="맑은 고딕" w:hAnsi="맑은 고딕" w:eastAsia="맑은 고딕"/>
                <w:b/>
                <w:sz w:val="20"/>
              </w:rPr>
              <w:t>시점</w:t>
            </w:r>
          </w:p>
        </w:tc>
      </w:tr>
      <w:tr>
        <w:tc>
          <w:tcPr>
            <w:tcW w:type="dxa" w:w="3135"/>
          </w:tcPr>
          <w:p>
            <w:r>
              <w:rPr>
                <w:rFonts w:ascii="맑은 고딕" w:hAnsi="맑은 고딕" w:eastAsia="맑은 고딕"/>
                <w:b w:val="0"/>
                <w:sz w:val="20"/>
              </w:rPr>
              <w:t>목표 기준 통일안 수립</w:t>
            </w:r>
          </w:p>
        </w:tc>
        <w:tc>
          <w:tcPr>
            <w:tcW w:type="dxa" w:w="3135"/>
          </w:tcPr>
          <w:p>
            <w:r>
              <w:rPr>
                <w:rFonts w:ascii="맑은 고딕" w:hAnsi="맑은 고딕" w:eastAsia="맑은 고딕"/>
                <w:b w:val="0"/>
                <w:sz w:val="20"/>
              </w:rPr>
              <w:t>채널 공통 기준안 마련 및 관련 부서 협의</w:t>
            </w:r>
          </w:p>
        </w:tc>
        <w:tc>
          <w:tcPr>
            <w:tcW w:type="dxa" w:w="3135"/>
          </w:tcPr>
          <w:p>
            <w:r>
              <w:rPr>
                <w:rFonts w:ascii="맑은 고딕" w:hAnsi="맑은 고딕" w:eastAsia="맑은 고딕"/>
                <w:b w:val="0"/>
                <w:sz w:val="20"/>
              </w:rPr>
              <w:t>2026년 10월</w:t>
            </w:r>
          </w:p>
        </w:tc>
      </w:tr>
      <w:tr>
        <w:tc>
          <w:tcPr>
            <w:tcW w:type="dxa" w:w="3135"/>
          </w:tcPr>
          <w:p>
            <w:r>
              <w:rPr>
                <w:rFonts w:ascii="맑은 고딕" w:hAnsi="맑은 고딕" w:eastAsia="맑은 고딕"/>
                <w:b w:val="0"/>
                <w:sz w:val="20"/>
              </w:rPr>
              <w:t>채널 마스터 코드 정비</w:t>
            </w:r>
          </w:p>
        </w:tc>
        <w:tc>
          <w:tcPr>
            <w:tcW w:type="dxa" w:w="3135"/>
          </w:tcPr>
          <w:p>
            <w:r>
              <w:rPr>
                <w:rFonts w:ascii="맑은 고딕" w:hAnsi="맑은 고딕" w:eastAsia="맑은 고딕"/>
                <w:b w:val="0"/>
                <w:sz w:val="20"/>
              </w:rPr>
              <w:t>판매·목표 시스템의 채널명 표기 통일</w:t>
            </w:r>
          </w:p>
        </w:tc>
        <w:tc>
          <w:tcPr>
            <w:tcW w:type="dxa" w:w="3135"/>
          </w:tcPr>
          <w:p>
            <w:r>
              <w:rPr>
                <w:rFonts w:ascii="맑은 고딕" w:hAnsi="맑은 고딕" w:eastAsia="맑은 고딕"/>
                <w:b w:val="0"/>
                <w:sz w:val="20"/>
              </w:rPr>
              <w:t>2026년 11월</w:t>
            </w:r>
          </w:p>
        </w:tc>
      </w:tr>
      <w:tr>
        <w:tc>
          <w:tcPr>
            <w:tcW w:type="dxa" w:w="3135"/>
          </w:tcPr>
          <w:p>
            <w:r>
              <w:rPr>
                <w:rFonts w:ascii="맑은 고딕" w:hAnsi="맑은 고딕" w:eastAsia="맑은 고딕"/>
                <w:b w:val="0"/>
                <w:sz w:val="20"/>
              </w:rPr>
              <w:t>계절 지수 반영</w:t>
            </w:r>
          </w:p>
        </w:tc>
        <w:tc>
          <w:tcPr>
            <w:tcW w:type="dxa" w:w="3135"/>
          </w:tcPr>
          <w:p>
            <w:r>
              <w:rPr>
                <w:rFonts w:ascii="맑은 고딕" w:hAnsi="맑은 고딕" w:eastAsia="맑은 고딕"/>
                <w:b w:val="0"/>
                <w:sz w:val="20"/>
              </w:rPr>
              <w:t>카테고리별 월 배분 로직 설계 및 적용</w:t>
            </w:r>
          </w:p>
        </w:tc>
        <w:tc>
          <w:tcPr>
            <w:tcW w:type="dxa" w:w="3135"/>
          </w:tcPr>
          <w:p>
            <w:r>
              <w:rPr>
                <w:rFonts w:ascii="맑은 고딕" w:hAnsi="맑은 고딕" w:eastAsia="맑은 고딕"/>
                <w:b w:val="0"/>
                <w:sz w:val="20"/>
              </w:rPr>
              <w:t>2026년 12월</w:t>
            </w:r>
          </w:p>
        </w:tc>
      </w:tr>
      <w:tr>
        <w:tc>
          <w:tcPr>
            <w:tcW w:type="dxa" w:w="3135"/>
          </w:tcPr>
          <w:p>
            <w:r>
              <w:rPr>
                <w:rFonts w:ascii="맑은 고딕" w:hAnsi="맑은 고딕" w:eastAsia="맑은 고딕"/>
                <w:b w:val="0"/>
                <w:sz w:val="20"/>
              </w:rPr>
              <w:t>2026년 목표 확정</w:t>
            </w:r>
          </w:p>
        </w:tc>
        <w:tc>
          <w:tcPr>
            <w:tcW w:type="dxa" w:w="3135"/>
          </w:tcPr>
          <w:p>
            <w:r>
              <w:rPr>
                <w:rFonts w:ascii="맑은 고딕" w:hAnsi="맑은 고딕" w:eastAsia="맑은 고딕"/>
                <w:b w:val="0"/>
                <w:sz w:val="20"/>
              </w:rPr>
              <w:t>신규 기준으로 채널별·카테고리별 목표 확정</w:t>
            </w:r>
          </w:p>
        </w:tc>
        <w:tc>
          <w:tcPr>
            <w:tcW w:type="dxa" w:w="3135"/>
          </w:tcPr>
          <w:p>
            <w:r>
              <w:rPr>
                <w:rFonts w:ascii="맑은 고딕" w:hAnsi="맑은 고딕" w:eastAsia="맑은 고딕"/>
                <w:b w:val="0"/>
                <w:sz w:val="20"/>
              </w:rPr>
              <w:t>2026년 1월</w:t>
            </w:r>
          </w:p>
        </w:tc>
      </w:tr>
      <w:tr>
        <w:tc>
          <w:tcPr>
            <w:tcW w:type="dxa" w:w="3135"/>
          </w:tcPr>
          <w:p>
            <w:r>
              <w:rPr>
                <w:rFonts w:ascii="맑은 고딕" w:hAnsi="맑은 고딕" w:eastAsia="맑은 고딕"/>
                <w:b w:val="0"/>
                <w:sz w:val="20"/>
              </w:rPr>
              <w:t>운영 결과 1차 점검</w:t>
            </w:r>
          </w:p>
        </w:tc>
        <w:tc>
          <w:tcPr>
            <w:tcW w:type="dxa" w:w="3135"/>
          </w:tcPr>
          <w:p>
            <w:r>
              <w:rPr>
                <w:rFonts w:ascii="맑은 고딕" w:hAnsi="맑은 고딕" w:eastAsia="맑은 고딕"/>
                <w:b w:val="0"/>
                <w:sz w:val="20"/>
              </w:rPr>
              <w:t>신규 기준 적용 후 첫 분기 결과 검토</w:t>
            </w:r>
          </w:p>
        </w:tc>
        <w:tc>
          <w:tcPr>
            <w:tcW w:type="dxa" w:w="3135"/>
          </w:tcPr>
          <w:p>
            <w:r>
              <w:rPr>
                <w:rFonts w:ascii="맑은 고딕" w:hAnsi="맑은 고딕" w:eastAsia="맑은 고딕"/>
                <w:b w:val="0"/>
                <w:sz w:val="20"/>
              </w:rPr>
              <w:t>2026년 4월</w:t>
            </w:r>
          </w:p>
        </w:tc>
      </w:tr>
    </w:tbl>
    <w:p/>
    <w:p>
      <w:pPr>
        <w:spacing w:before="360" w:after="120"/>
      </w:pPr>
      <w:r>
        <w:rPr>
          <w:rFonts w:ascii="맑은 고딕" w:hAnsi="맑은 고딕" w:eastAsia="맑은 고딕"/>
          <w:b/>
          <w:sz w:val="30"/>
        </w:rPr>
        <w:t>10. 결정이 필요한 사항</w:t>
      </w:r>
    </w:p>
    <w:p>
      <w:pPr>
        <w:pStyle w:val="ListBullet"/>
        <w:spacing w:after="80"/>
      </w:pPr>
      <w:r>
        <w:rPr>
          <w:rFonts w:ascii="맑은 고딕" w:hAnsi="맑은 고딕" w:eastAsia="맑은 고딕"/>
          <w:b w:val="0"/>
          <w:sz w:val="21"/>
        </w:rPr>
        <w:t>목표 기준 통일안의 적용 시점 — 2026년 하반기부터인지 2026년 초부터인지</w:t>
      </w:r>
    </w:p>
    <w:p>
      <w:pPr>
        <w:pStyle w:val="ListBullet"/>
        <w:spacing w:after="80"/>
      </w:pPr>
      <w:r>
        <w:rPr>
          <w:rFonts w:ascii="맑은 고딕" w:hAnsi="맑은 고딕" w:eastAsia="맑은 고딕"/>
          <w:b w:val="0"/>
          <w:sz w:val="21"/>
        </w:rPr>
        <w:t>목표가 비어 있는 구간의 달성률 처리 방식 — 제외할지 0으로 볼지</w:t>
      </w:r>
    </w:p>
    <w:p>
      <w:pPr>
        <w:pStyle w:val="ListBullet"/>
        <w:spacing w:after="80"/>
      </w:pPr>
      <w:r>
        <w:rPr>
          <w:rFonts w:ascii="맑은 고딕" w:hAnsi="맑은 고딕" w:eastAsia="맑은 고딕"/>
          <w:b w:val="0"/>
          <w:sz w:val="21"/>
        </w:rPr>
        <w:t>채널 마스터 코드 정비의 주관 부서 — 영업기획팀인지 정보시스템팀인지</w:t>
      </w:r>
    </w:p>
    <w:p>
      <w:pPr>
        <w:pStyle w:val="ListBullet"/>
        <w:spacing w:after="80"/>
      </w:pPr>
      <w:r>
        <w:rPr>
          <w:rFonts w:ascii="맑은 고딕" w:hAnsi="맑은 고딕" w:eastAsia="맑은 고딕"/>
          <w:b w:val="0"/>
          <w:sz w:val="21"/>
        </w:rPr>
        <w:t>계절 지수 산출에 사용할 기준 기간 — 최근 1년인지 3년 평균인지</w:t>
      </w:r>
    </w:p>
    <w:p>
      <w:pPr>
        <w:spacing w:after="160"/>
      </w:pPr>
      <w:r>
        <w:rPr>
          <w:rFonts w:ascii="맑은 고딕" w:hAnsi="맑은 고딕" w:eastAsia="맑은 고딕"/>
          <w:b w:val="0"/>
          <w:sz w:val="21"/>
        </w:rPr>
      </w:r>
    </w:p>
    <w:p>
      <w:pPr>
        <w:spacing w:after="160"/>
      </w:pPr>
      <w:r>
        <w:rPr>
          <w:rFonts w:ascii="맑은 고딕" w:hAnsi="맑은 고딕" w:eastAsia="맑은 고딕"/>
          <w:b w:val="0"/>
          <w:sz w:val="18"/>
        </w:rPr>
        <w:t>※ 본 문서는 Copilot 실습을 위해 작성한 가상 보고서다. 회사의 실제 실적·계획과 무관하다.</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