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May 29,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 “ kin groups”.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include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Other work highlights the unique role of kinship networks in shaping economic outcomes by race</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compare median wealth ratios that rely on household-level values with those that rely on kin group-level values.</w:t>
      </w:r>
    </w:p>
    <w:p>
      <w:pPr>
        <w:pStyle w:val="BodyText"/>
      </w:pPr>
      <w:r>
        <w:t xml:space="preserve">Using kin groups as the unit of analysis requires aggregating households into kin groups. If households were hypothetically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Using simulated data, Appendix Table A shows that it is possible to obtain kin group-level Gini coefficients equal to or even higher than household-level Gini coefficients. The direction and degree of change in the Gini coefficient from the household to the kin group level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today’s kin group inequality should be viewed as similarly consequential.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(kin groups). Weighted mean wealth: $490,457 (households), $1,884,939 (kin groups; includes home equity). Income Ginis changed by 16.0% for households (0.41 in 1969 to 0.48 in 2023) and by 20.6% for kin groups (0.30 to 0.36). Wealth Ginis changed by 4.3% for households (0.76 in 1984 to 0.79 in 2023) and by 4.8% for kin groups (0.60 to 0.63). On average across all years, the income Gini is 0.123 higher for households than kin groups; the wealth Gini is 0.147 higher.</w:t>
      </w:r>
      <w:r>
        <w:rPr>
          <w:i/>
          <w:iCs/>
        </w:rPr>
        <w:t xml:space="preserve"> </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0.76 in 1984 to 0.79 in 2023, a 4.3% increase. At the kin group level, it rose from 0.60 to 0.63 over the same period, which also constitutes a 4.8%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These curves juxtapose two inequality trends: differences in how income and wealth inequality change over time, and differences in inequality across units of analysis. 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kin group weights. Wealth includes home equity. Income in 1984: weighted mean (median) $27,647 ($22,520) for households, $85,338 ($71,914) for kin groups. Income in 2023: $297,591 ($196,196) for households, $1,487,913 ($1,059,244)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1969-2023 period, but fluctuate differently by unit of analysis. The kin group-level ratio declines before reversing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kin groups (includes home equity), using weighted medians. Across all years, weighted median wealth is $6,908 for Black households and $79,216 for Non-Black households. For kin groups, the weighted median wealth is $65,790 for Black kin groups and $315,061 for Non-Black kin groups. The median ratio changed by -4.6% for households (0.074 in 1984 to 0.071 in 2023) and 20.3% for kin groups (0.215 to 0.258). On average across all years, the median wealth ratio for kin groups is 0.128 higher than for households. See Appendix E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Results from these sensitivity analyses are available in Appendices C and 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upwards. Results from these sensitivity analyses are available in Appendix E.</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household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 “kin group society”—that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 “household society” 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descendants’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Appendix C4).</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 “nuclear family”</w:t>
      </w:r>
      <w:r>
        <w:t xml:space="preserve"> </w:t>
      </w:r>
      <w:r>
        <w:t xml:space="preserve">[38]</w:t>
      </w:r>
      <w:r>
        <w:t xml:space="preserve">. Across all measures, we find that estimated inequality is consistently lower when measured at the kin group level than at the household level for both income and wealth (see Appendix D).</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Appendix B).</w:t>
      </w:r>
    </w:p>
    <w:bookmarkEnd w:id="27"/>
    <w:bookmarkStart w:id="39" w:name="appendix"/>
    <w:p>
      <w:pPr>
        <w:pStyle w:val="Heading1"/>
      </w:pPr>
      <w:r>
        <w:t xml:space="preserve">Appendix</w:t>
      </w:r>
    </w:p>
    <w:bookmarkStart w:id="37" w:name="appendix-a-simulating-gini-coefficients"/>
    <w:p>
      <w:pPr>
        <w:pStyle w:val="Heading2"/>
      </w:pPr>
      <w:r>
        <w:t xml:space="preserve">Appendix A: Simulating Gini Coefficients</w:t>
      </w:r>
    </w:p>
    <w:p>
      <w:pPr>
        <w:pStyle w:val="FirstParagraph"/>
      </w:pPr>
      <w:r>
        <w:t xml:space="preserve">Appendix A illustrates extreme cases from simulated household and kin group data. The simulation demonstrates that kin group-level Gini coefficients are not necessarily lower than household-level Gini coefficients. The direction of the difference depends on the relationship between kin group size, the overall distribution of resources, and the selection of households into kin groups.</w:t>
      </w:r>
    </w:p>
    <w:p>
      <w:pPr>
        <w:pStyle w:val="BodyText"/>
      </w:pPr>
      <w:r>
        <w:t xml:space="preserve">Appendix A1 shows the minimum possible difference between kin group and household Gini coefficients in the simulated data, while Appendix A2 shows the maximum possible difference. Curves show that Gini coefficients at the kin group level can exceed those of households. Appendix A3 illustrates that, while it is more likely for Gini coefficients at the household level to exceed Gini coefficients at the kin group level, whether this effect is observed depends on the combination between kin group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1-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2" name="Picture"/>
            <a:graphic>
              <a:graphicData uri="http://schemas.openxmlformats.org/drawingml/2006/picture">
                <pic:pic>
                  <pic:nvPicPr>
                    <pic:cNvPr descr="/Users/amanda/Desktop/clan_project/10_draft/output/write_files/figure-docx/appendix-a2-1.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5" name="Picture"/>
            <a:graphic>
              <a:graphicData uri="http://schemas.openxmlformats.org/drawingml/2006/picture">
                <pic:pic>
                  <pic:nvPicPr>
                    <pic:cNvPr descr="/Users/amanda/Desktop/clan_project/10_draft/output/write_files/figure-docx/appendix-a3-1.png" id="36" name="Picture"/>
                    <pic:cNvPicPr>
                      <a:picLocks noChangeArrowheads="1" noChangeAspect="1"/>
                    </pic:cNvPicPr>
                  </pic:nvPicPr>
                  <pic:blipFill>
                    <a:blip r:embed="rId34"/>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7"/>
    <w:bookmarkStart w:id="38"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kin group with at least one other household (which are the results presented in the main paper).</w:t>
      </w:r>
    </w:p>
    <w:p>
      <w:pPr>
        <w:pStyle w:val="BodyText"/>
      </w:pPr>
      <w:r>
        <w:t xml:space="preserve">Gini coefficients are not available for all years in other sources, so only years available are presented. Gini benchmarks for income rely on estimates from the Federal Reserve Bank of St. Louis (FRED) and the U.S. Census</w:t>
      </w:r>
      <w:r>
        <w:t xml:space="preserve"> </w:t>
      </w:r>
      <w:r>
        <w:t xml:space="preserve">[1, 39]</w:t>
      </w:r>
      <w:r>
        <w:t xml:space="preserve">. FRED uses data from the World Bank on U.S. households and the Census uses data from the Current Population Survey (CPS). Gini benchmarks for wealth rely on estimates from research papers based on data from the PSID or Survey of Consumer Finances (SCF)</w:t>
      </w:r>
      <w:r>
        <w:t xml:space="preserve"> </w:t>
      </w:r>
      <w:r>
        <w:t xml:space="preserve">[20, 40]</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0.751</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0.749</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0.786</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0.801</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0.833</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0.811</w:t>
            </w:r>
          </w:p>
        </w:tc>
      </w:tr>
    </w:tbl>
    <w:bookmarkEnd w:id="38"/>
    <w:bookmarkEnd w:id="39"/>
    <w:bookmarkStart w:id="64" w:name="X1a48765accbb976c449929efb9c303c48aeac11"/>
    <w:p>
      <w:pPr>
        <w:pStyle w:val="Heading1"/>
      </w:pPr>
      <w:r>
        <w:t xml:space="preserve">Appendix C: Sensitivity Analyses — Gini Coefficients</w:t>
      </w:r>
    </w:p>
    <w:p>
      <w:pPr>
        <w:pStyle w:val="FirstParagraph"/>
      </w:pPr>
      <w:r>
        <w:t xml:space="preserve">Across a range of specifications, estimated inequality using the Gini is lower when kin groups are used as the unit of analysis instead of households. This pattern is not driven by race, nor does it disappear when expanding the sample, excluding home equity in measures of wealth, including negative wealth values, standardizing by household size, or applying weights. For each specification, results are recalculated and displayed alongside the main results.</w:t>
      </w:r>
    </w:p>
    <w:bookmarkStart w:id="43" w:name="X2af1039fa4a14e53aec9c9fa061f4e8992f7595"/>
    <w:p>
      <w:pPr>
        <w:pStyle w:val="Heading2"/>
      </w:pPr>
      <w:r>
        <w:t xml:space="preserve">Appendix C1: Gini Coefficients by Race Subgroup</w:t>
      </w:r>
    </w:p>
    <w:p>
      <w:pPr>
        <w:pStyle w:val="FirstParagraph"/>
      </w:pPr>
      <w:r>
        <w:t xml:space="preserve">The differences between Gini coefficients at the household and kin group level are not driven by racial subgroups. Graphs on the left side show Gini coefficients for Black households and kin groups. Graphs in the middle show Gini coefficients for non-Black households and kin groups. The graphs on the right side show the difference between household and kin group (HH - kin group) Gini coefficients for each group. Gini coefficients for income (Panel A) and wealth (Panel B) are higher at the kin group level for both Black and non-Black kin groups, indicating that inequality is lower when estimated at the kin group level across racial groups.</w:t>
      </w:r>
    </w:p>
    <w:p>
      <w:pPr>
        <w:pStyle w:val="BodyText"/>
      </w:pPr>
      <w:r>
        <w:drawing>
          <wp:inline>
            <wp:extent cx="5334000" cy="4191000"/>
            <wp:effectExtent b="0" l="0" r="0" t="0"/>
            <wp:docPr descr="" title="" id="41" name="Picture"/>
            <a:graphic>
              <a:graphicData uri="http://schemas.openxmlformats.org/drawingml/2006/picture">
                <pic:pic>
                  <pic:nvPicPr>
                    <pic:cNvPr descr="/Users/amanda/Desktop/clan_project/10_draft/output/write_files/figure-docx/appendix-c1-1.png" id="42" name="Picture"/>
                    <pic:cNvPicPr>
                      <a:picLocks noChangeArrowheads="1" noChangeAspect="1"/>
                    </pic:cNvPicPr>
                  </pic:nvPicPr>
                  <pic:blipFill>
                    <a:blip r:embed="rId40"/>
                    <a:stretch>
                      <a:fillRect/>
                    </a:stretch>
                  </pic:blipFill>
                  <pic:spPr bwMode="auto">
                    <a:xfrm>
                      <a:off x="0" y="0"/>
                      <a:ext cx="5334000" cy="4191000"/>
                    </a:xfrm>
                    <a:prstGeom prst="rect">
                      <a:avLst/>
                    </a:prstGeom>
                    <a:noFill/>
                    <a:ln w="9525">
                      <a:noFill/>
                      <a:headEnd/>
                      <a:tailEnd/>
                    </a:ln>
                  </pic:spPr>
                </pic:pic>
              </a:graphicData>
            </a:graphic>
          </wp:inline>
        </w:drawing>
      </w:r>
    </w:p>
    <w:bookmarkEnd w:id="43"/>
    <w:bookmarkStart w:id="47" w:name="X05171309a402648ffa9946822f50c48bfc2d2fb"/>
    <w:p>
      <w:pPr>
        <w:pStyle w:val="Heading2"/>
      </w:pPr>
      <w:r>
        <w:t xml:space="preserve">Appendix C2: Sensitivity — Single-Household Clans</w:t>
      </w:r>
    </w:p>
    <w:p>
      <w:pPr>
        <w:pStyle w:val="FirstParagraph"/>
      </w:pPr>
      <w:r>
        <w:t xml:space="preserve">In reality, all households belong to kin groups that consist of multiple households. However, some households in the PSID do not have kin groups due to the survey design and attrition. The survey is genealogical, meaning that initial households only have measurable kin groups once their descendants respond to the survey. Attrition also might limit responses from some households, thereby erasing kin groups for the households they are connected to.</w:t>
      </w:r>
    </w:p>
    <w:p>
      <w:pPr>
        <w:pStyle w:val="BodyText"/>
      </w:pPr>
      <w:r>
        <w:t xml:space="preserve">Because these limitations are imposed by the survey design, not social reality, we exclude household-years where households are alone in their kin group from both household and kin group measurements. The graphs on the left side show this. When including these single-household kin groups, or “kin groupless” households, the difference in Gini coefficients at the household and kin groups levels is minimized but not eliminated. The graphs in the middle show Gini coefficients when single-household kin groups are included. The graphs on the right side show the difference between household and kin group (HH - kin group) Gini coefficients for each group. Differences in estimated inequality at the kin group and household levels are smaller when including kin groupless households, however, they still exist and are increasing over time.</w:t>
      </w:r>
    </w:p>
    <w:p>
      <w:pPr>
        <w:pStyle w:val="BodyText"/>
      </w:pPr>
      <w:r>
        <w:drawing>
          <wp:inline>
            <wp:extent cx="5334000" cy="4191000"/>
            <wp:effectExtent b="0" l="0" r="0" t="0"/>
            <wp:docPr descr="" title="" id="45" name="Picture"/>
            <a:graphic>
              <a:graphicData uri="http://schemas.openxmlformats.org/drawingml/2006/picture">
                <pic:pic>
                  <pic:nvPicPr>
                    <pic:cNvPr descr="/Users/amanda/Desktop/clan_project/10_draft/output/write_files/figure-docx/appendix-c2-1.png" id="46" name="Picture"/>
                    <pic:cNvPicPr>
                      <a:picLocks noChangeArrowheads="1" noChangeAspect="1"/>
                    </pic:cNvPicPr>
                  </pic:nvPicPr>
                  <pic:blipFill>
                    <a:blip r:embed="rId44"/>
                    <a:stretch>
                      <a:fillRect/>
                    </a:stretch>
                  </pic:blipFill>
                  <pic:spPr bwMode="auto">
                    <a:xfrm>
                      <a:off x="0" y="0"/>
                      <a:ext cx="5334000" cy="4191000"/>
                    </a:xfrm>
                    <a:prstGeom prst="rect">
                      <a:avLst/>
                    </a:prstGeom>
                    <a:noFill/>
                    <a:ln w="9525">
                      <a:noFill/>
                      <a:headEnd/>
                      <a:tailEnd/>
                    </a:ln>
                  </pic:spPr>
                </pic:pic>
              </a:graphicData>
            </a:graphic>
          </wp:inline>
        </w:drawing>
      </w:r>
    </w:p>
    <w:bookmarkEnd w:id="47"/>
    <w:bookmarkStart w:id="51"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reports the difference between Gini coefficients at the household and kin group levels (graphs on the right). Excluding home equity makes estimated inequality lower and minimizes the observed difference between household and kin group Gini coefficients.</w:t>
      </w:r>
    </w:p>
    <w:p>
      <w:pPr>
        <w:pStyle w:val="BodyText"/>
      </w:pPr>
      <w:r>
        <w:drawing>
          <wp:inline>
            <wp:extent cx="5334000" cy="2667000"/>
            <wp:effectExtent b="0" l="0" r="0" t="0"/>
            <wp:docPr descr="" title="" id="49" name="Picture"/>
            <a:graphic>
              <a:graphicData uri="http://schemas.openxmlformats.org/drawingml/2006/picture">
                <pic:pic>
                  <pic:nvPicPr>
                    <pic:cNvPr descr="/Users/amanda/Desktop/clan_project/10_draft/output/write_files/figure-docx/appendix-c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bookmarkEnd w:id="51"/>
    <w:bookmarkStart w:id="55"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shows Gini coefficients when negative values are included (middle graphs), and reports the difference between Gini coefficients at the household and kin group levels (graphs on the right). Including negative values does not change estimated Gini coefficients at the household or kin group levels.</w:t>
      </w:r>
    </w:p>
    <w:p>
      <w:pPr>
        <w:pStyle w:val="BodyText"/>
      </w:pPr>
      <w:r>
        <w:drawing>
          <wp:inline>
            <wp:extent cx="5334000" cy="4191000"/>
            <wp:effectExtent b="0" l="0" r="0" t="0"/>
            <wp:docPr descr="" title="" id="53" name="Picture"/>
            <a:graphic>
              <a:graphicData uri="http://schemas.openxmlformats.org/drawingml/2006/picture">
                <pic:pic>
                  <pic:nvPicPr>
                    <pic:cNvPr descr="/Users/amanda/Desktop/clan_project/10_draft/output/write_files/figure-docx/appendix-c4-1.png" id="54" name="Picture"/>
                    <pic:cNvPicPr>
                      <a:picLocks noChangeArrowheads="1" noChangeAspect="1"/>
                    </pic:cNvPicPr>
                  </pic:nvPicPr>
                  <pic:blipFill>
                    <a:blip r:embed="rId52"/>
                    <a:stretch>
                      <a:fillRect/>
                    </a:stretch>
                  </pic:blipFill>
                  <pic:spPr bwMode="auto">
                    <a:xfrm>
                      <a:off x="0" y="0"/>
                      <a:ext cx="5334000" cy="4191000"/>
                    </a:xfrm>
                    <a:prstGeom prst="rect">
                      <a:avLst/>
                    </a:prstGeom>
                    <a:noFill/>
                    <a:ln w="9525">
                      <a:noFill/>
                      <a:headEnd/>
                      <a:tailEnd/>
                    </a:ln>
                  </pic:spPr>
                </pic:pic>
              </a:graphicData>
            </a:graphic>
          </wp:inline>
        </w:drawing>
      </w:r>
    </w:p>
    <w:bookmarkEnd w:id="55"/>
    <w:bookmarkStart w:id="59" w:name="X77e9005b9b6a06de423e46c0fd275669ef06bbc"/>
    <w:p>
      <w:pPr>
        <w:pStyle w:val="Heading2"/>
      </w:pPr>
      <w:r>
        <w:t xml:space="preserve">Appendix C5: Sensitivity — Size Standardization</w:t>
      </w:r>
    </w:p>
    <w:p>
      <w:pPr>
        <w:pStyle w:val="FirstParagraph"/>
      </w:pPr>
      <w:r>
        <w:t xml:space="preserve">Results in the main text standardize income, wealth, and resulting Gini coefficients by household and kin group size. Estimated inequality is higher when results are not standardized by size and the gap between household and kin group Gini coefficients is smaller. However, Gini coefficients are higher at the kin group versus household level irrespective of whether measurements are adjusted by size.</w:t>
      </w:r>
    </w:p>
    <w:p>
      <w:pPr>
        <w:pStyle w:val="BodyText"/>
      </w:pPr>
      <w:r>
        <w:drawing>
          <wp:inline>
            <wp:extent cx="5334000" cy="4191000"/>
            <wp:effectExtent b="0" l="0" r="0" t="0"/>
            <wp:docPr descr="" title="" id="57" name="Picture"/>
            <a:graphic>
              <a:graphicData uri="http://schemas.openxmlformats.org/drawingml/2006/picture">
                <pic:pic>
                  <pic:nvPicPr>
                    <pic:cNvPr descr="/Users/amanda/Desktop/clan_project/10_draft/output/write_files/figure-docx/appendix-c5-1.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bookmarkEnd w:id="59"/>
    <w:bookmarkStart w:id="63"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kin group-level Gini coefficients are weighted using a constructed kin group weight based on the PSID family weight. Weighting does not substantially change the results.</w:t>
      </w:r>
    </w:p>
    <w:p>
      <w:pPr>
        <w:pStyle w:val="BodyText"/>
      </w:pPr>
      <w:r>
        <w:drawing>
          <wp:inline>
            <wp:extent cx="5334000" cy="4191000"/>
            <wp:effectExtent b="0" l="0" r="0" t="0"/>
            <wp:docPr descr="" title="" id="61" name="Picture"/>
            <a:graphic>
              <a:graphicData uri="http://schemas.openxmlformats.org/drawingml/2006/picture">
                <pic:pic>
                  <pic:nvPicPr>
                    <pic:cNvPr descr="/Users/amanda/Desktop/clan_project/10_draft/output/write_files/figure-docx/appendix-c6-1.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bookmarkEnd w:id="63"/>
    <w:bookmarkEnd w:id="64"/>
    <w:bookmarkStart w:id="68"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[38]</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kin group level using any measure of inequality.</w:t>
      </w:r>
    </w:p>
    <w:p>
      <w:pPr>
        <w:pStyle w:val="BodyText"/>
      </w:pPr>
      <w:r>
        <w:drawing>
          <wp:inline>
            <wp:extent cx="5334000" cy="4953000"/>
            <wp:effectExtent b="0" l="0" r="0" t="0"/>
            <wp:docPr descr="" title="" id="66" name="Picture"/>
            <a:graphic>
              <a:graphicData uri="http://schemas.openxmlformats.org/drawingml/2006/picture">
                <pic:pic>
                  <pic:nvPicPr>
                    <pic:cNvPr descr="/Users/amanda/Desktop/clan_project/10_draft/output/write_files/figure-docx/appendix-d-1.png" id="67" name="Picture"/>
                    <pic:cNvPicPr>
                      <a:picLocks noChangeArrowheads="1" noChangeAspect="1"/>
                    </pic:cNvPicPr>
                  </pic:nvPicPr>
                  <pic:blipFill>
                    <a:blip r:embed="rId65"/>
                    <a:stretch>
                      <a:fillRect/>
                    </a:stretch>
                  </pic:blipFill>
                  <pic:spPr bwMode="auto">
                    <a:xfrm>
                      <a:off x="0" y="0"/>
                      <a:ext cx="5334000" cy="4953000"/>
                    </a:xfrm>
                    <a:prstGeom prst="rect">
                      <a:avLst/>
                    </a:prstGeom>
                    <a:noFill/>
                    <a:ln w="9525">
                      <a:noFill/>
                      <a:headEnd/>
                      <a:tailEnd/>
                    </a:ln>
                  </pic:spPr>
                </pic:pic>
              </a:graphicData>
            </a:graphic>
          </wp:inline>
        </w:drawing>
      </w:r>
    </w:p>
    <w:bookmarkEnd w:id="68"/>
    <w:bookmarkStart w:id="183" w:name="X5f622d6d803146b163d9253c739d30f2df1566c"/>
    <w:p>
      <w:pPr>
        <w:pStyle w:val="Heading1"/>
      </w:pPr>
      <w:r>
        <w:t xml:space="preserve">Appendix E: Sensitivity Analyses — Race Ratios</w:t>
      </w:r>
    </w:p>
    <w:p>
      <w:pPr>
        <w:pStyle w:val="FirstParagraph"/>
      </w:pPr>
      <w:r>
        <w:t xml:space="preserve">Across a range of specifications, estimated median racial wealth gaps are lower when kin groups are used as the unit of analysis instead of households. This pattern does not disappear when expanding the sample, excluding home equity in measures of wealth, including negative wealth values, standardizing by household size, or applying weights. For each specification, results are recalculated and displayed alongside the main results.</w:t>
      </w:r>
    </w:p>
    <w:p>
      <w:pPr>
        <w:pStyle w:val="BodyText"/>
      </w:pPr>
      <w:r>
        <w:t xml:space="preserve">Mean racial wealth gaps are about the same at the household and kin group levels. This finding is also robust across each specification. Appendix E1 explains the difference between the mean and median wealth ratios and why median racial wealth gaps are presented.</w:t>
      </w:r>
    </w:p>
    <w:bookmarkStart w:id="72" w:name="Xaf4b4e30a82a5efc110f75affa781b311e02b22"/>
    <w:p>
      <w:pPr>
        <w:pStyle w:val="Heading2"/>
      </w:pPr>
      <w:r>
        <w:t xml:space="preserve">Appendix E1: Mean and Median Wealth Ratios</w:t>
      </w:r>
    </w:p>
    <w:p>
      <w:pPr>
        <w:pStyle w:val="FirstParagraph"/>
      </w:pPr>
      <w:r>
        <w:t xml:space="preserve">Appendix E1 reports Black / non-Black wealth ratios using weighted means for both households and kin groups. Panel A reproduces the median wealth ratios (as in Figure 3), while Panel B presents mean wealth ratios. Using medians, the racial wealth gap differs between households and kin groups (Panel A), whereas using means, the two are about the same (Panel B).</w:t>
      </w:r>
    </w:p>
    <w:p>
      <w:pPr>
        <w:pStyle w:val="BodyText"/>
      </w:pPr>
      <w:r>
        <w:t xml:space="preserve">Race ratios using mean wealth, when pooled across all years, show that Black households hold 19 cents for every dollar of wealth held by non-Black households, while Black kin groups hold 18 cents for every dollar held by non-Black kin groups. The convergence in mean-based estimates is driven by a small number of high-wealth Black households in the PSID, particularly in 2004–2005, which skew household-level averages. These results highlight the sensitivity of mean-based measures to outliers, which is why we present race ratios based on median wealth in the main text.</w:t>
      </w:r>
    </w:p>
    <w:p>
      <w:pPr>
        <w:pStyle w:val="BodyText"/>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e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d5a9b67d5a8e965514382ecfe1cc3ed9659fe17"/>
    <w:p>
      <w:pPr>
        <w:pStyle w:val="Heading2"/>
      </w:pPr>
      <w:r>
        <w:t xml:space="preserve">Appendix E2: Race Ratios — Single-Household Clans</w:t>
      </w:r>
    </w:p>
    <w:p>
      <w:pPr>
        <w:pStyle w:val="FirstParagraph"/>
      </w:pPr>
      <w:r>
        <w:t xml:space="preserve">Appendix E2 shows Black / Non-Black wealth ratios when single-household kin groups are excluded (main specification, left panels) versus included (middle panels). Panel A shows median wealth ratios and Panel B shows mean wealth ratios. Including single-household kin groups does little to change racial wealth gaps using median or mean wealth (right panels). In particular, the median racial wealth gap between kin groups, versus households, shows less inequality irrespective of whether single-household kin groups are included.</w:t>
      </w:r>
    </w:p>
    <w:p>
      <w:pPr>
        <w:pStyle w:val="BodyText"/>
      </w:pPr>
      <w:r>
        <w:drawing>
          <wp:inline>
            <wp:extent cx="5334000" cy="4191000"/>
            <wp:effectExtent b="0" l="0" r="0" t="0"/>
            <wp:docPr descr="" title="" id="74" name="Picture"/>
            <a:graphic>
              <a:graphicData uri="http://schemas.openxmlformats.org/drawingml/2006/picture">
                <pic:pic>
                  <pic:nvPicPr>
                    <pic:cNvPr descr="/Users/amanda/Desktop/clan_project/10_draft/output/write_files/figure-docx/appendix-e2-1.png" id="75" name="Picture"/>
                    <pic:cNvPicPr>
                      <a:picLocks noChangeArrowheads="1" noChangeAspect="1"/>
                    </pic:cNvPicPr>
                  </pic:nvPicPr>
                  <pic:blipFill>
                    <a:blip r:embed="rId73"/>
                    <a:stretch>
                      <a:fillRect/>
                    </a:stretch>
                  </pic:blipFill>
                  <pic:spPr bwMode="auto">
                    <a:xfrm>
                      <a:off x="0" y="0"/>
                      <a:ext cx="5334000" cy="4191000"/>
                    </a:xfrm>
                    <a:prstGeom prst="rect">
                      <a:avLst/>
                    </a:prstGeom>
                    <a:noFill/>
                    <a:ln w="9525">
                      <a:noFill/>
                      <a:headEnd/>
                      <a:tailEnd/>
                    </a:ln>
                  </pic:spPr>
                </pic:pic>
              </a:graphicData>
            </a:graphic>
          </wp:inline>
        </w:drawing>
      </w:r>
    </w:p>
    <w:bookmarkEnd w:id="76"/>
    <w:bookmarkStart w:id="80" w:name="X4f8f6757e41621a604b96cab76adac83d382470"/>
    <w:p>
      <w:pPr>
        <w:pStyle w:val="Heading2"/>
      </w:pPr>
      <w:r>
        <w:t xml:space="preserve">Appendix E3: Race Ratios — Wealth With and Without Home Equity</w:t>
      </w:r>
    </w:p>
    <w:p>
      <w:pPr>
        <w:pStyle w:val="FirstParagraph"/>
      </w:pPr>
      <w:r>
        <w:t xml:space="preserve">Appendix E3 compares racial wealth ratios when home equity is included (main specification, left panels) versus excluded (middle panels). Panel A shows median wealth ratios and Panel B shows mean wealth ratios. The median racial wealth gap between kin groups, versus households, shows less inequality irrespective of whether wealth measures include home equity.</w:t>
      </w:r>
    </w:p>
    <w:p>
      <w:pPr>
        <w:pStyle w:val="BodyText"/>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e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84" w:name="appendix-e4-race-ratios-negative-values"/>
    <w:p>
      <w:pPr>
        <w:pStyle w:val="Heading2"/>
      </w:pPr>
      <w:r>
        <w:t xml:space="preserve">Appendix E4: Race Ratios — Negative Values</w:t>
      </w:r>
    </w:p>
    <w:p>
      <w:pPr>
        <w:pStyle w:val="FirstParagraph"/>
      </w:pPr>
      <w:r>
        <w:t xml:space="preserve">Appendix E4 shows Black / Non-Black wealth ratios when negative wealth values are excluded (main specification, left panels) versus included (middle panels). Panel A shows median wealth ratios and Panel B shows mean wealth ratios. Including negative values does not change the estimated race ratios.</w:t>
      </w:r>
    </w:p>
    <w:p>
      <w:pPr>
        <w:pStyle w:val="BodyText"/>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e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End w:id="84"/>
    <w:bookmarkStart w:id="88" w:name="Xd6511b1b6585925de2919b20c244f05b533908a"/>
    <w:p>
      <w:pPr>
        <w:pStyle w:val="Heading2"/>
      </w:pPr>
      <w:r>
        <w:t xml:space="preserve">Appendix E5: Race Ratios — Size Standardization</w:t>
      </w:r>
    </w:p>
    <w:p>
      <w:pPr>
        <w:pStyle w:val="FirstParagraph"/>
      </w:pPr>
      <w:r>
        <w:t xml:space="preserve">Appendix E5 compares Black / Non-Black wealth ratios when wealth is size-standardized by household and kin group size (main specification, left panels) versus unadjusted (middle panels). Panel A shows median wealth ratios and Panel B shows mean wealth ratios. Standardizing by size does not substantially change the estimated median wealth race ratios from 1984–2015. From 2015–2023, the difference between median wealth gaps at the kin group versus household level widen.</w:t>
      </w:r>
    </w:p>
    <w:p>
      <w:pPr>
        <w:pStyle w:val="BodyText"/>
      </w:pPr>
      <w:r>
        <w:drawing>
          <wp:inline>
            <wp:extent cx="5334000" cy="4191000"/>
            <wp:effectExtent b="0" l="0" r="0" t="0"/>
            <wp:docPr descr="" title="" id="86" name="Picture"/>
            <a:graphic>
              <a:graphicData uri="http://schemas.openxmlformats.org/drawingml/2006/picture">
                <pic:pic>
                  <pic:nvPicPr>
                    <pic:cNvPr descr="/Users/amanda/Desktop/clan_project/10_draft/output/write_files/figure-docx/appendix-e5-1.png" id="87" name="Picture"/>
                    <pic:cNvPicPr>
                      <a:picLocks noChangeArrowheads="1" noChangeAspect="1"/>
                    </pic:cNvPicPr>
                  </pic:nvPicPr>
                  <pic:blipFill>
                    <a:blip r:embed="rId85"/>
                    <a:stretch>
                      <a:fillRect/>
                    </a:stretch>
                  </pic:blipFill>
                  <pic:spPr bwMode="auto">
                    <a:xfrm>
                      <a:off x="0" y="0"/>
                      <a:ext cx="5334000" cy="4191000"/>
                    </a:xfrm>
                    <a:prstGeom prst="rect">
                      <a:avLst/>
                    </a:prstGeom>
                    <a:noFill/>
                    <a:ln w="9525">
                      <a:noFill/>
                      <a:headEnd/>
                      <a:tailEnd/>
                    </a:ln>
                  </pic:spPr>
                </pic:pic>
              </a:graphicData>
            </a:graphic>
          </wp:inline>
        </w:drawing>
      </w:r>
    </w:p>
    <w:bookmarkEnd w:id="88"/>
    <w:bookmarkStart w:id="182" w:name="appendix-e6-race-ratios-weighting"/>
    <w:p>
      <w:pPr>
        <w:pStyle w:val="Heading2"/>
      </w:pPr>
      <w:r>
        <w:t xml:space="preserve">Appendix E6: Race Ratios — Weighting</w:t>
      </w:r>
    </w:p>
    <w:p>
      <w:pPr>
        <w:pStyle w:val="FirstParagraph"/>
      </w:pPr>
      <w:r>
        <w:t xml:space="preserve">Appendix E6 shows Black / Non-Black wealth ratios using weighted estimates (main specification, left panels) versus unweighted estimates (middle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90" name="Picture"/>
            <a:graphic>
              <a:graphicData uri="http://schemas.openxmlformats.org/drawingml/2006/picture">
                <pic:pic>
                  <pic:nvPicPr>
                    <pic:cNvPr descr="/Users/amanda/Desktop/clan_project/10_draft/output/write_files/figure-docx/appendix-e6-1.png" id="91" name="Picture"/>
                    <pic:cNvPicPr>
                      <a:picLocks noChangeArrowheads="1" noChangeAspect="1"/>
                    </pic:cNvPicPr>
                  </pic:nvPicPr>
                  <pic:blipFill>
                    <a:blip r:embed="rId89"/>
                    <a:stretch>
                      <a:fillRect/>
                    </a:stretch>
                  </pic:blipFill>
                  <pic:spPr bwMode="auto">
                    <a:xfrm>
                      <a:off x="0" y="0"/>
                      <a:ext cx="5334000" cy="4191000"/>
                    </a:xfrm>
                    <a:prstGeom prst="rect">
                      <a:avLst/>
                    </a:prstGeom>
                    <a:noFill/>
                    <a:ln w="9525">
                      <a:noFill/>
                      <a:headEnd/>
                      <a:tailEnd/>
                    </a:ln>
                  </pic:spPr>
                </pic:pic>
              </a:graphicData>
            </a:graphic>
          </wp:inline>
        </w:drawing>
      </w:r>
    </w:p>
    <w:bookmarkStart w:id="181" w:name="refs"/>
    <w:bookmarkStart w:id="93"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2">
        <w:r>
          <w:rPr>
            <w:rStyle w:val="Hyperlink"/>
          </w:rPr>
          <w:t xml:space="preserve">https://fred.stlouisfed.org/series/SIPOVGINIUSA</w:t>
        </w:r>
      </w:hyperlink>
    </w:p>
    <w:bookmarkEnd w:id="93"/>
    <w:bookmarkStart w:id="95"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4">
        <w:r>
          <w:rPr>
            <w:rStyle w:val="Hyperlink"/>
          </w:rPr>
          <w:t xml:space="preserve">https://www.bakerinstitute.org/research/decline-us-wealth-and-income-inequality</w:t>
        </w:r>
      </w:hyperlink>
    </w:p>
    <w:bookmarkEnd w:id="95"/>
    <w:bookmarkStart w:id="98"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6">
        <w:r>
          <w:rPr>
            <w:rStyle w:val="Hyperlink"/>
          </w:rPr>
          <w:t xml:space="preserve">https://www.nber.org/papers/w33823</w:t>
        </w:r>
      </w:hyperlink>
      <w:r>
        <w:t xml:space="preserve">. doi:</w:t>
      </w:r>
      <w:hyperlink r:id="rId97">
        <w:r>
          <w:rPr>
            <w:rStyle w:val="Hyperlink"/>
          </w:rPr>
          <w:t xml:space="preserve">10.3386/w33823</w:t>
        </w:r>
      </w:hyperlink>
    </w:p>
    <w:bookmarkEnd w:id="98"/>
    <w:bookmarkStart w:id="101"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9">
        <w:r>
          <w:rPr>
            <w:rStyle w:val="Hyperlink"/>
          </w:rPr>
          <w:t xml:space="preserve">https://www.journals.uchicago.edu/doi/10.1086/728741</w:t>
        </w:r>
      </w:hyperlink>
      <w:r>
        <w:t xml:space="preserve">. doi:</w:t>
      </w:r>
      <w:hyperlink r:id="rId100">
        <w:r>
          <w:rPr>
            <w:rStyle w:val="Hyperlink"/>
          </w:rPr>
          <w:t xml:space="preserve">10.1086/728741</w:t>
        </w:r>
      </w:hyperlink>
    </w:p>
    <w:bookmarkEnd w:id="101"/>
    <w:bookmarkStart w:id="104"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2">
        <w:r>
          <w:rPr>
            <w:rStyle w:val="Hyperlink"/>
          </w:rPr>
          <w:t xml:space="preserve">https://www.annualreviews.org/doi/10.1146/annurev-soc-060116-053331</w:t>
        </w:r>
      </w:hyperlink>
      <w:r>
        <w:t xml:space="preserve">. doi:</w:t>
      </w:r>
      <w:hyperlink r:id="rId103">
        <w:r>
          <w:rPr>
            <w:rStyle w:val="Hyperlink"/>
          </w:rPr>
          <w:t xml:space="preserve">10.1146/annurev-soc-060116-053331</w:t>
        </w:r>
      </w:hyperlink>
    </w:p>
    <w:bookmarkEnd w:id="104"/>
    <w:bookmarkStart w:id="106"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5">
        <w:r>
          <w:rPr>
            <w:rStyle w:val="Hyperlink"/>
          </w:rPr>
          <w:t xml:space="preserve">https://doi.org/10.1093/qje/qjw004</w:t>
        </w:r>
      </w:hyperlink>
      <w:r>
        <w:t xml:space="preserve">. doi:</w:t>
      </w:r>
      <w:hyperlink r:id="rId105">
        <w:r>
          <w:rPr>
            <w:rStyle w:val="Hyperlink"/>
          </w:rPr>
          <w:t xml:space="preserve">10.1093/qje/qjw004</w:t>
        </w:r>
      </w:hyperlink>
    </w:p>
    <w:bookmarkEnd w:id="106"/>
    <w:bookmarkStart w:id="107"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7"/>
    <w:bookmarkStart w:id="109"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8">
        <w:r>
          <w:rPr>
            <w:rStyle w:val="Hyperlink"/>
          </w:rPr>
          <w:t xml:space="preserve">10.1037/11282-004</w:t>
        </w:r>
      </w:hyperlink>
    </w:p>
    <w:bookmarkEnd w:id="109"/>
    <w:bookmarkStart w:id="111"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10">
        <w:r>
          <w:rPr>
            <w:rStyle w:val="Hyperlink"/>
          </w:rPr>
          <w:t xml:space="preserve">https://doi.org/10.1007/s13524-018-0719-y</w:t>
        </w:r>
      </w:hyperlink>
      <w:r>
        <w:t xml:space="preserve">. doi:</w:t>
      </w:r>
      <w:hyperlink r:id="rId110">
        <w:r>
          <w:rPr>
            <w:rStyle w:val="Hyperlink"/>
          </w:rPr>
          <w:t xml:space="preserve">10.1007/s13524-018-0719-y</w:t>
        </w:r>
      </w:hyperlink>
    </w:p>
    <w:bookmarkEnd w:id="111"/>
    <w:bookmarkStart w:id="113"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2">
        <w:r>
          <w:rPr>
            <w:rStyle w:val="Hyperlink"/>
          </w:rPr>
          <w:t xml:space="preserve">https://doi.org/10.1007/s13524-011-0014-7</w:t>
        </w:r>
      </w:hyperlink>
      <w:r>
        <w:t xml:space="preserve">. doi:</w:t>
      </w:r>
      <w:hyperlink r:id="rId112">
        <w:r>
          <w:rPr>
            <w:rStyle w:val="Hyperlink"/>
          </w:rPr>
          <w:t xml:space="preserve">10.1007/s13524-011-0014-7</w:t>
        </w:r>
      </w:hyperlink>
    </w:p>
    <w:bookmarkEnd w:id="113"/>
    <w:bookmarkStart w:id="115"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4">
        <w:r>
          <w:rPr>
            <w:rStyle w:val="Hyperlink"/>
          </w:rPr>
          <w:t xml:space="preserve">https://doi.org/10.1093/ser/mwad033</w:t>
        </w:r>
      </w:hyperlink>
      <w:r>
        <w:t xml:space="preserve">. doi:</w:t>
      </w:r>
      <w:hyperlink r:id="rId114">
        <w:r>
          <w:rPr>
            <w:rStyle w:val="Hyperlink"/>
          </w:rPr>
          <w:t xml:space="preserve">10.1093/ser/mwad033</w:t>
        </w:r>
      </w:hyperlink>
    </w:p>
    <w:bookmarkEnd w:id="115"/>
    <w:bookmarkStart w:id="117"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6">
        <w:r>
          <w:rPr>
            <w:rStyle w:val="Hyperlink"/>
          </w:rPr>
          <w:t xml:space="preserve">https://doi.org/10.1177/00031224251319001</w:t>
        </w:r>
      </w:hyperlink>
      <w:r>
        <w:t xml:space="preserve">. doi:</w:t>
      </w:r>
      <w:hyperlink r:id="rId116">
        <w:r>
          <w:rPr>
            <w:rStyle w:val="Hyperlink"/>
          </w:rPr>
          <w:t xml:space="preserve">10.1177/00031224251319001</w:t>
        </w:r>
      </w:hyperlink>
    </w:p>
    <w:bookmarkEnd w:id="117"/>
    <w:bookmarkStart w:id="120"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118">
        <w:r>
          <w:rPr>
            <w:rStyle w:val="Hyperlink"/>
          </w:rPr>
          <w:t xml:space="preserve">https://www.pnas.org/doi/10.1073/pnas.2315722120</w:t>
        </w:r>
      </w:hyperlink>
      <w:r>
        <w:t xml:space="preserve">. doi:</w:t>
      </w:r>
      <w:hyperlink r:id="rId119">
        <w:r>
          <w:rPr>
            <w:rStyle w:val="Hyperlink"/>
          </w:rPr>
          <w:t xml:space="preserve">10.1073/pnas.2315722120</w:t>
        </w:r>
      </w:hyperlink>
    </w:p>
    <w:bookmarkEnd w:id="120"/>
    <w:bookmarkStart w:id="123"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21">
        <w:r>
          <w:rPr>
            <w:rStyle w:val="Hyperlink"/>
          </w:rPr>
          <w:t xml:space="preserve">https://pubs.aeaweb.org/doi/10.1257/aer.20190553</w:t>
        </w:r>
      </w:hyperlink>
      <w:r>
        <w:t xml:space="preserve">. doi:</w:t>
      </w:r>
      <w:hyperlink r:id="rId122">
        <w:r>
          <w:rPr>
            <w:rStyle w:val="Hyperlink"/>
          </w:rPr>
          <w:t xml:space="preserve">10.1257/aer.20190553</w:t>
        </w:r>
      </w:hyperlink>
    </w:p>
    <w:bookmarkEnd w:id="123"/>
    <w:bookmarkStart w:id="126"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24">
        <w:r>
          <w:rPr>
            <w:rStyle w:val="Hyperlink"/>
          </w:rPr>
          <w:t xml:space="preserve">https://www-journals-uchicago-edu.turing.library.northwestern.edu/doi/full/10.1086/724835</w:t>
        </w:r>
      </w:hyperlink>
      <w:r>
        <w:t xml:space="preserve">. doi:</w:t>
      </w:r>
      <w:hyperlink r:id="rId125">
        <w:r>
          <w:rPr>
            <w:rStyle w:val="Hyperlink"/>
          </w:rPr>
          <w:t xml:space="preserve">https://doi.org/10.1086/724835</w:t>
        </w:r>
      </w:hyperlink>
    </w:p>
    <w:bookmarkEnd w:id="126"/>
    <w:bookmarkStart w:id="128"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7">
        <w:r>
          <w:rPr>
            <w:rStyle w:val="Hyperlink"/>
          </w:rPr>
          <w:t xml:space="preserve">10.1007/s13524-019-00772-8</w:t>
        </w:r>
      </w:hyperlink>
    </w:p>
    <w:bookmarkEnd w:id="128"/>
    <w:bookmarkStart w:id="130"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29">
        <w:r>
          <w:rPr>
            <w:rStyle w:val="Hyperlink"/>
          </w:rPr>
          <w:t xml:space="preserve">10.4324/9780203707425</w:t>
        </w:r>
      </w:hyperlink>
    </w:p>
    <w:bookmarkEnd w:id="130"/>
    <w:bookmarkStart w:id="133"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1">
        <w:r>
          <w:rPr>
            <w:rStyle w:val="Hyperlink"/>
          </w:rPr>
          <w:t xml:space="preserve">https://www-annualreviews-org.turing.library.northwestern.edu/content/journals/10.1146/annurev-soc-030320-115024</w:t>
        </w:r>
      </w:hyperlink>
      <w:r>
        <w:t xml:space="preserve">. doi:</w:t>
      </w:r>
      <w:hyperlink r:id="rId132">
        <w:r>
          <w:rPr>
            <w:rStyle w:val="Hyperlink"/>
          </w:rPr>
          <w:t xml:space="preserve">doi.org/10.1146/annurev-soc-030320-115024</w:t>
        </w:r>
      </w:hyperlink>
    </w:p>
    <w:bookmarkEnd w:id="133"/>
    <w:bookmarkStart w:id="136"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4">
        <w:r>
          <w:rPr>
            <w:rStyle w:val="Hyperlink"/>
          </w:rPr>
          <w:t xml:space="preserve">https://www.sciencedirect.com/science/article/pii/S2352827319303623</w:t>
        </w:r>
      </w:hyperlink>
      <w:r>
        <w:t xml:space="preserve">. doi:</w:t>
      </w:r>
      <w:hyperlink r:id="rId135">
        <w:r>
          <w:rPr>
            <w:rStyle w:val="Hyperlink"/>
          </w:rPr>
          <w:t xml:space="preserve">10.1016/j.ssmph.2020.100564</w:t>
        </w:r>
      </w:hyperlink>
    </w:p>
    <w:bookmarkEnd w:id="136"/>
    <w:bookmarkStart w:id="138"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37">
        <w:r>
          <w:rPr>
            <w:rStyle w:val="Hyperlink"/>
          </w:rPr>
          <w:t xml:space="preserve">10.1177/0002716213497452</w:t>
        </w:r>
      </w:hyperlink>
    </w:p>
    <w:bookmarkEnd w:id="138"/>
    <w:bookmarkStart w:id="139"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139"/>
    <w:bookmarkStart w:id="141"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140">
        <w:r>
          <w:rPr>
            <w:rStyle w:val="Hyperlink"/>
          </w:rPr>
          <w:t xml:space="preserve">https://doi.org/10.1353/dem.2005.0036</w:t>
        </w:r>
      </w:hyperlink>
      <w:r>
        <w:t xml:space="preserve">. doi:</w:t>
      </w:r>
      <w:hyperlink r:id="rId140">
        <w:r>
          <w:rPr>
            <w:rStyle w:val="Hyperlink"/>
          </w:rPr>
          <w:t xml:space="preserve">10.1353/dem.2005.0036</w:t>
        </w:r>
      </w:hyperlink>
    </w:p>
    <w:bookmarkEnd w:id="141"/>
    <w:bookmarkStart w:id="143"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42">
        <w:r>
          <w:rPr>
            <w:rStyle w:val="Hyperlink"/>
          </w:rPr>
          <w:t xml:space="preserve">10.1177/0003122417695791</w:t>
        </w:r>
      </w:hyperlink>
    </w:p>
    <w:bookmarkEnd w:id="143"/>
    <w:bookmarkStart w:id="144"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44"/>
    <w:bookmarkStart w:id="146"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45">
        <w:r>
          <w:rPr>
            <w:rStyle w:val="Hyperlink"/>
          </w:rPr>
          <w:t xml:space="preserve">10.3233/JEM-160421</w:t>
        </w:r>
      </w:hyperlink>
    </w:p>
    <w:bookmarkEnd w:id="146"/>
    <w:bookmarkStart w:id="148"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147">
        <w:r>
          <w:rPr>
            <w:rStyle w:val="Hyperlink"/>
          </w:rPr>
          <w:t xml:space="preserve">https://doi.org/10.1007/s13524-014-0296-7</w:t>
        </w:r>
      </w:hyperlink>
      <w:r>
        <w:t xml:space="preserve">. doi:</w:t>
      </w:r>
      <w:hyperlink r:id="rId147">
        <w:r>
          <w:rPr>
            <w:rStyle w:val="Hyperlink"/>
          </w:rPr>
          <w:t xml:space="preserve">10.1007/s13524-014-0296-7</w:t>
        </w:r>
      </w:hyperlink>
    </w:p>
    <w:bookmarkEnd w:id="148"/>
    <w:bookmarkStart w:id="150"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149">
        <w:r>
          <w:rPr>
            <w:rStyle w:val="Hyperlink"/>
          </w:rPr>
          <w:t xml:space="preserve">https://www.pewresearch.org/social-trends/2011/07/26/wealth-gaps-rise-to-record-highs-between-whites-blacks-hispanics/</w:t>
        </w:r>
      </w:hyperlink>
    </w:p>
    <w:bookmarkEnd w:id="150"/>
    <w:bookmarkStart w:id="151"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51"/>
    <w:bookmarkStart w:id="154"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152">
        <w:r>
          <w:rPr>
            <w:rStyle w:val="Hyperlink"/>
          </w:rPr>
          <w:t xml:space="preserve">https://onlinelibrary.wiley.com/doi/abs/10.1111/roiw.70002</w:t>
        </w:r>
      </w:hyperlink>
      <w:r>
        <w:t xml:space="preserve">. doi:</w:t>
      </w:r>
      <w:hyperlink r:id="rId153">
        <w:r>
          <w:rPr>
            <w:rStyle w:val="Hyperlink"/>
          </w:rPr>
          <w:t xml:space="preserve">10.1111/roiw.70002</w:t>
        </w:r>
      </w:hyperlink>
    </w:p>
    <w:bookmarkEnd w:id="154"/>
    <w:bookmarkStart w:id="157"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55">
        <w:r>
          <w:rPr>
            <w:rStyle w:val="Hyperlink"/>
          </w:rPr>
          <w:t xml:space="preserve">https://www.aeaweb.org/articles?id=10.1257/jep.27.3.79</w:t>
        </w:r>
      </w:hyperlink>
      <w:r>
        <w:t xml:space="preserve">. doi:</w:t>
      </w:r>
      <w:hyperlink r:id="rId156">
        <w:r>
          <w:rPr>
            <w:rStyle w:val="Hyperlink"/>
          </w:rPr>
          <w:t xml:space="preserve">10.1257/jep.27.3.79</w:t>
        </w:r>
      </w:hyperlink>
    </w:p>
    <w:bookmarkEnd w:id="157"/>
    <w:bookmarkStart w:id="159"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58">
        <w:r>
          <w:rPr>
            <w:rStyle w:val="Hyperlink"/>
          </w:rPr>
          <w:t xml:space="preserve">10.1093/sf/sov075</w:t>
        </w:r>
      </w:hyperlink>
    </w:p>
    <w:bookmarkEnd w:id="159"/>
    <w:bookmarkStart w:id="161"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60">
        <w:r>
          <w:rPr>
            <w:rStyle w:val="Hyperlink"/>
          </w:rPr>
          <w:t xml:space="preserve">https://www.jstor.org/stable/10.7758/9781610447805</w:t>
        </w:r>
      </w:hyperlink>
    </w:p>
    <w:bookmarkEnd w:id="161"/>
    <w:bookmarkStart w:id="164"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62">
        <w:r>
          <w:rPr>
            <w:rStyle w:val="Hyperlink"/>
          </w:rPr>
          <w:t xml:space="preserve">https://www.ncbi.nlm.nih.gov/pmc/articles/PMC9874997/</w:t>
        </w:r>
      </w:hyperlink>
      <w:r>
        <w:t xml:space="preserve">. doi:</w:t>
      </w:r>
      <w:hyperlink r:id="rId163">
        <w:r>
          <w:rPr>
            <w:rStyle w:val="Hyperlink"/>
          </w:rPr>
          <w:t xml:space="preserve">10.1093/jssam/smab038</w:t>
        </w:r>
      </w:hyperlink>
    </w:p>
    <w:bookmarkEnd w:id="164"/>
    <w:bookmarkStart w:id="165"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65"/>
    <w:bookmarkStart w:id="168"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66">
        <w:r>
          <w:rPr>
            <w:rStyle w:val="Hyperlink"/>
          </w:rPr>
          <w:t xml:space="preserve">https://www.sciencedirect.com/science/article/pii/0022053170900396</w:t>
        </w:r>
      </w:hyperlink>
      <w:r>
        <w:t xml:space="preserve">. doi:</w:t>
      </w:r>
      <w:hyperlink r:id="rId167">
        <w:r>
          <w:rPr>
            <w:rStyle w:val="Hyperlink"/>
          </w:rPr>
          <w:t xml:space="preserve">10.1016/0022-0531(70)90039-6</w:t>
        </w:r>
      </w:hyperlink>
    </w:p>
    <w:bookmarkEnd w:id="168"/>
    <w:bookmarkStart w:id="171"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69">
        <w:r>
          <w:rPr>
            <w:rStyle w:val="Hyperlink"/>
          </w:rPr>
          <w:t xml:space="preserve">https://www.ncbi.nlm.nih.gov/pmc/articles/PMC2652960/</w:t>
        </w:r>
      </w:hyperlink>
      <w:r>
        <w:t xml:space="preserve">. doi:</w:t>
      </w:r>
      <w:hyperlink r:id="rId170">
        <w:r>
          <w:rPr>
            <w:rStyle w:val="Hyperlink"/>
          </w:rPr>
          <w:t xml:space="preserve">10.1136/jech.2006.052969</w:t>
        </w:r>
      </w:hyperlink>
    </w:p>
    <w:bookmarkEnd w:id="171"/>
    <w:bookmarkStart w:id="174"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72">
        <w:r>
          <w:rPr>
            <w:rStyle w:val="Hyperlink"/>
          </w:rPr>
          <w:t xml:space="preserve">https://www.sciencedirect.com/science/article/pii/S0277953697000440</w:t>
        </w:r>
      </w:hyperlink>
      <w:r>
        <w:t xml:space="preserve">. doi:</w:t>
      </w:r>
      <w:hyperlink r:id="rId173">
        <w:r>
          <w:rPr>
            <w:rStyle w:val="Hyperlink"/>
          </w:rPr>
          <w:t xml:space="preserve">10.1016/S0277-9536(97)00044-0</w:t>
        </w:r>
      </w:hyperlink>
    </w:p>
    <w:bookmarkEnd w:id="174"/>
    <w:bookmarkStart w:id="177"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75">
        <w:r>
          <w:rPr>
            <w:rStyle w:val="Hyperlink"/>
          </w:rPr>
          <w:t xml:space="preserve">https://research.ebsco.com/linkprocessor/plink?id=183a0f60-6b65-3238-9faf-59d099fff528</w:t>
        </w:r>
      </w:hyperlink>
      <w:r>
        <w:t xml:space="preserve">. doi:</w:t>
      </w:r>
      <w:hyperlink r:id="rId176">
        <w:r>
          <w:rPr>
            <w:rStyle w:val="Hyperlink"/>
          </w:rPr>
          <w:t xml:space="preserve">10.1007/s10888-006-9050-8</w:t>
        </w:r>
      </w:hyperlink>
    </w:p>
    <w:bookmarkEnd w:id="177"/>
    <w:bookmarkStart w:id="179" w:name="ref-census_table_2025"/>
    <w:p>
      <w:pPr>
        <w:pStyle w:val="Bibliography"/>
      </w:pPr>
      <w:r>
        <w:t xml:space="preserve">[39]</w:t>
      </w:r>
      <w:r>
        <w:t xml:space="preserve"> </w:t>
      </w:r>
      <w:r>
        <w:t xml:space="preserve">	</w:t>
      </w:r>
      <w:r>
        <w:t xml:space="preserve">Census. 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 2025.</w:t>
      </w:r>
      <w:r>
        <w:t xml:space="preserve"> </w:t>
      </w:r>
      <w:hyperlink r:id="rId178">
        <w:r>
          <w:rPr>
            <w:rStyle w:val="Hyperlink"/>
          </w:rPr>
          <w:t xml:space="preserve">https://www.census.gov/data/tables/time-series/demo/income-poverty/historical-income-inequality.html</w:t>
        </w:r>
      </w:hyperlink>
    </w:p>
    <w:bookmarkEnd w:id="179"/>
    <w:bookmarkStart w:id="180" w:name="ref-wolff_size_209"/>
    <w:p>
      <w:pPr>
        <w:pStyle w:val="Bibliography"/>
      </w:pPr>
      <w:r>
        <w:t xml:space="preserve">[40]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80"/>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groups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7/s10888-006-9050-8" TargetMode="External" /><Relationship Type="http://schemas.openxmlformats.org/officeDocument/2006/relationships/hyperlink" Id="rId112" Target="https://doi.org/10.1007/s13524-011-0014-7" TargetMode="External" /><Relationship Type="http://schemas.openxmlformats.org/officeDocument/2006/relationships/hyperlink" Id="rId147" Target="https://doi.org/10.1007/s13524-014-0296-7" TargetMode="External" /><Relationship Type="http://schemas.openxmlformats.org/officeDocument/2006/relationships/hyperlink" Id="rId110" Target="https://doi.org/10.1007/s13524-018-0719-y" TargetMode="External" /><Relationship Type="http://schemas.openxmlformats.org/officeDocument/2006/relationships/hyperlink" Id="rId127" Target="https://doi.org/10.1007/s13524-019-00772-8" TargetMode="External" /><Relationship Type="http://schemas.openxmlformats.org/officeDocument/2006/relationships/hyperlink" Id="rId167" Target="https://doi.org/10.1016/0022-0531(70)90039-6" TargetMode="External" /><Relationship Type="http://schemas.openxmlformats.org/officeDocument/2006/relationships/hyperlink" Id="rId173" Target="https://doi.org/10.1016/S0277-9536(97)00044-0" TargetMode="External" /><Relationship Type="http://schemas.openxmlformats.org/officeDocument/2006/relationships/hyperlink" Id="rId135" Target="https://doi.org/10.1016/j.ssmph.2020.100564" TargetMode="External" /><Relationship Type="http://schemas.openxmlformats.org/officeDocument/2006/relationships/hyperlink" Id="rId108" Target="https://doi.org/10.1037/11282-004" TargetMode="External" /><Relationship Type="http://schemas.openxmlformats.org/officeDocument/2006/relationships/hyperlink" Id="rId119" Target="https://doi.org/10.1073/pnas.2315722120" TargetMode="External" /><Relationship Type="http://schemas.openxmlformats.org/officeDocument/2006/relationships/hyperlink" Id="rId125" Target="https://doi.org/10.1086/724835" TargetMode="External" /><Relationship Type="http://schemas.openxmlformats.org/officeDocument/2006/relationships/hyperlink" Id="rId100" Target="https://doi.org/10.1086/728741" TargetMode="External" /><Relationship Type="http://schemas.openxmlformats.org/officeDocument/2006/relationships/hyperlink" Id="rId163" Target="https://doi.org/10.1093/jssam/smab038" TargetMode="External" /><Relationship Type="http://schemas.openxmlformats.org/officeDocument/2006/relationships/hyperlink" Id="rId105" Target="https://doi.org/10.1093/qje/qjw004" TargetMode="External" /><Relationship Type="http://schemas.openxmlformats.org/officeDocument/2006/relationships/hyperlink" Id="rId114" Target="https://doi.org/10.1093/ser/mwad033" TargetMode="External" /><Relationship Type="http://schemas.openxmlformats.org/officeDocument/2006/relationships/hyperlink" Id="rId158" Target="https://doi.org/10.1093/sf/sov075" TargetMode="External" /><Relationship Type="http://schemas.openxmlformats.org/officeDocument/2006/relationships/hyperlink" Id="rId153" Target="https://doi.org/10.1111/roiw.70002" TargetMode="External" /><Relationship Type="http://schemas.openxmlformats.org/officeDocument/2006/relationships/hyperlink" Id="rId170" Target="https://doi.org/10.1136/jech.2006.052969" TargetMode="External" /><Relationship Type="http://schemas.openxmlformats.org/officeDocument/2006/relationships/hyperlink" Id="rId103" Target="https://doi.org/10.1146/annurev-soc-060116-053331" TargetMode="External" /><Relationship Type="http://schemas.openxmlformats.org/officeDocument/2006/relationships/hyperlink" Id="rId137" Target="https://doi.org/10.1177/0002716213497452" TargetMode="External" /><Relationship Type="http://schemas.openxmlformats.org/officeDocument/2006/relationships/hyperlink" Id="rId142" Target="https://doi.org/10.1177/0003122417695791" TargetMode="External" /><Relationship Type="http://schemas.openxmlformats.org/officeDocument/2006/relationships/hyperlink" Id="rId116" Target="https://doi.org/10.1177/00031224251319001" TargetMode="External" /><Relationship Type="http://schemas.openxmlformats.org/officeDocument/2006/relationships/hyperlink" Id="rId122" Target="https://doi.org/10.1257/aer.20190553" TargetMode="External" /><Relationship Type="http://schemas.openxmlformats.org/officeDocument/2006/relationships/hyperlink" Id="rId156" Target="https://doi.org/10.1257/jep.27.3.79" TargetMode="External" /><Relationship Type="http://schemas.openxmlformats.org/officeDocument/2006/relationships/hyperlink" Id="rId140" Target="https://doi.org/10.1353/dem.2005.0036" TargetMode="External" /><Relationship Type="http://schemas.openxmlformats.org/officeDocument/2006/relationships/hyperlink" Id="rId145" Target="https://doi.org/10.3233/JEM-160421" TargetMode="External" /><Relationship Type="http://schemas.openxmlformats.org/officeDocument/2006/relationships/hyperlink" Id="rId97" Target="https://doi.org/10.3386/w33823" TargetMode="External" /><Relationship Type="http://schemas.openxmlformats.org/officeDocument/2006/relationships/hyperlink" Id="rId129" Target="https://doi.org/10.4324/9780203707425" TargetMode="External" /><Relationship Type="http://schemas.openxmlformats.org/officeDocument/2006/relationships/hyperlink" Id="rId132" Target="https://doi.org/doi.org/10.1146/annurev-soc-030320-115024" TargetMode="External" /><Relationship Type="http://schemas.openxmlformats.org/officeDocument/2006/relationships/hyperlink" Id="rId92" Target="https://fred.stlouisfed.org/series/SIPOVGINIUSA" TargetMode="External" /><Relationship Type="http://schemas.openxmlformats.org/officeDocument/2006/relationships/hyperlink" Id="rId152" Target="https://onlinelibrary.wiley.com/doi/abs/10.1111/roiw.70002" TargetMode="External" /><Relationship Type="http://schemas.openxmlformats.org/officeDocument/2006/relationships/hyperlink" Id="rId121" Target="https://pubs.aeaweb.org/doi/10.1257/aer.20190553" TargetMode="External" /><Relationship Type="http://schemas.openxmlformats.org/officeDocument/2006/relationships/hyperlink" Id="rId175" Target="https://research.ebsco.com/linkprocessor/plink?id=183a0f60-6b65-3238-9faf-59d099fff528" TargetMode="External" /><Relationship Type="http://schemas.openxmlformats.org/officeDocument/2006/relationships/hyperlink" Id="rId131" Target="https://www-annualreviews-org.turing.library.northwestern.edu/content/journals/10.1146/annurev-soc-030320-115024" TargetMode="External" /><Relationship Type="http://schemas.openxmlformats.org/officeDocument/2006/relationships/hyperlink" Id="rId124" Target="https://www-journals-uchicago-edu.turing.library.northwestern.edu/doi/full/10.1086/724835" TargetMode="External" /><Relationship Type="http://schemas.openxmlformats.org/officeDocument/2006/relationships/hyperlink" Id="rId155" Target="https://www.aeaweb.org/articles?id=10.1257/jep.27.3.79" TargetMode="External" /><Relationship Type="http://schemas.openxmlformats.org/officeDocument/2006/relationships/hyperlink" Id="rId102" Target="https://www.annualreviews.org/doi/10.1146/annurev-soc-060116-053331" TargetMode="External" /><Relationship Type="http://schemas.openxmlformats.org/officeDocument/2006/relationships/hyperlink" Id="rId94" Target="https://www.bakerinstitute.org/research/decline-us-wealth-and-income-inequality" TargetMode="External" /><Relationship Type="http://schemas.openxmlformats.org/officeDocument/2006/relationships/hyperlink" Id="rId178" Target="https://www.census.gov/data/tables/time-series/demo/income-poverty/historical-income-inequality.html" TargetMode="External" /><Relationship Type="http://schemas.openxmlformats.org/officeDocument/2006/relationships/hyperlink" Id="rId99" Target="https://www.journals.uchicago.edu/doi/10.1086/728741" TargetMode="External" /><Relationship Type="http://schemas.openxmlformats.org/officeDocument/2006/relationships/hyperlink" Id="rId160" Target="https://www.jstor.org/stable/10.7758/9781610447805" TargetMode="External" /><Relationship Type="http://schemas.openxmlformats.org/officeDocument/2006/relationships/hyperlink" Id="rId96" Target="https://www.nber.org/papers/w33823" TargetMode="External" /><Relationship Type="http://schemas.openxmlformats.org/officeDocument/2006/relationships/hyperlink" Id="rId169" Target="https://www.ncbi.nlm.nih.gov/pmc/articles/PMC2652960/" TargetMode="External" /><Relationship Type="http://schemas.openxmlformats.org/officeDocument/2006/relationships/hyperlink" Id="rId162" Target="https://www.ncbi.nlm.nih.gov/pmc/articles/PMC9874997/" TargetMode="External" /><Relationship Type="http://schemas.openxmlformats.org/officeDocument/2006/relationships/hyperlink" Id="rId149" Target="https://www.pewresearch.org/social-trends/2011/07/26/wealth-gaps-rise-to-record-highs-between-whites-blacks-hispanics/" TargetMode="External" /><Relationship Type="http://schemas.openxmlformats.org/officeDocument/2006/relationships/hyperlink" Id="rId118" Target="https://www.pnas.org/doi/10.1073/pnas.2315722120" TargetMode="External" /><Relationship Type="http://schemas.openxmlformats.org/officeDocument/2006/relationships/hyperlink" Id="rId166" Target="https://www.sciencedirect.com/science/article/pii/0022053170900396" TargetMode="External" /><Relationship Type="http://schemas.openxmlformats.org/officeDocument/2006/relationships/hyperlink" Id="rId172" Target="https://www.sciencedirect.com/science/article/pii/S0277953697000440" TargetMode="External" /><Relationship Type="http://schemas.openxmlformats.org/officeDocument/2006/relationships/hyperlink" Id="rId13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2026-05-29T22:49:08Z</dcterms:created>
  <dcterms:modified xsi:type="dcterms:W3CDTF">2026-05-29T22:49:08Z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May 29,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