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C2: Comparison of Gini coefficients with and without negative values (wealth excludes home equity)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961"/>
        <w:gridCol w:w="1010"/>
        <w:gridCol w:w="961"/>
        <w:gridCol w:w="961"/>
        <w:gridCol w:w="1010"/>
        <w:gridCol w:w="961"/>
        <w:gridCol w:w="2294"/>
      </w:tblGrid>
      <w:tr>
        <w:trPr>
          <w:trHeight w:val="618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Excluding Negative Values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Including Negative Values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Difference Overall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HH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Clans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Diff</w:t>
            </w:r>
          </w:p>
        </w:tc>
      </w:tr>
      <w:tr>
        <w:trPr>
          <w:trHeight w:val="56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6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6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6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6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0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2025-12-12T13:47:18Z</dcterms:modified>
  <cp:category/>
</cp:coreProperties>
</file>