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F2: Comparison of Gini coefficients for wealth with and without weights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961"/>
        <w:gridCol w:w="1010"/>
        <w:gridCol w:w="961"/>
        <w:gridCol w:w="961"/>
        <w:gridCol w:w="1010"/>
        <w:gridCol w:w="961"/>
        <w:gridCol w:w="2294"/>
      </w:tblGrid>
      <w:tr>
        <w:trPr>
          <w:trHeight w:val="618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Unweighted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Weighted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Difference Overall</w:t>
            </w:r>
          </w:p>
        </w:tc>
      </w:tr>
      <w:tr>
        <w:trPr>
          <w:trHeight w:val="57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Diff</w:t>
            </w:r>
          </w:p>
        </w:tc>
      </w:tr>
      <w:tr>
        <w:trPr>
          <w:trHeight w:val="57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5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5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</w:tr>
      <w:tr>
        <w:trPr>
          <w:trHeight w:val="5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</w:tr>
      <w:tr>
        <w:trPr>
          <w:trHeight w:val="5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</w:p>
        </w:tc>
      </w:tr>
      <w:tr>
        <w:trPr>
          <w:trHeight w:val="57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2025-12-12T13:47:19Z</dcterms:modified>
  <cp:category/>
</cp:coreProperties>
</file>