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G1: Average nuclear family indices (C1, C2, C3) for income and wealth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07"/>
        <w:gridCol w:w="961"/>
        <w:gridCol w:w="1010"/>
        <w:gridCol w:w="961"/>
        <w:gridCol w:w="1010"/>
        <w:gridCol w:w="961"/>
        <w:gridCol w:w="1010"/>
      </w:tblGrid>
      <w:tr>
        <w:trPr>
          <w:trHeight w:val="576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C1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C2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C3</w:t>
            </w:r>
          </w:p>
        </w:tc>
      </w:tr>
      <w:tr>
        <w:trPr>
          <w:trHeight w:val="576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Clans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</w:p>
        </w:tc>
      </w:tr>
      <w:tr>
        <w:trPr>
          <w:trHeight w:val="61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Wealth (no home equity)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2025-12-12T13:53:50Z</dcterms:modified>
  <cp:category/>
</cp:coreProperties>
</file>