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Figure 4. Differences in Inequality by Race</w:t>
      </w:r>
    </w:p>
    <w:tbl xmlns:a="http://schemas.openxmlformats.org/drawingml/2006/main" xmlns:pic="http://schemas.openxmlformats.org/drawingml/2006/picture">
      <w:tblPr>
        <w:tblLayout w:type="fixed"/>
        <w:jc w:val="center"/>
        <w:tblLook w:firstRow="1" w:lastRow="0" w:firstColumn="0" w:lastColumn="0" w:noHBand="0" w:noVBand="1"/>
      </w:tblPr>
      <w:tblGrid>
        <w:gridCol w:w="1384"/>
        <w:gridCol w:w="1539"/>
        <w:gridCol w:w="1771"/>
        <w:gridCol w:w="1744"/>
        <w:gridCol w:w="2011"/>
        <w:gridCol w:w="2318"/>
        <w:gridCol w:w="2291"/>
      </w:tblGrid>
      <w:tr>
        <w:trPr>
          <w:trHeight w:val="635"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Measure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Black HH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Black Clans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Diff. (Black)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Non-Black HH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Non-Black Clans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Diff. (Non-Black)</w:t>
            </w:r>
          </w:p>
        </w:tc>
      </w:tr>
      <w:tr>
        <w:trPr>
          <w:trHeight w:val="743" w:hRule="auto"/>
        </w:trPr>
        body1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Income</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0.442</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0.013)</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0.374</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0.020)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0.024)</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0.418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0.009)</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0.358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0.010)</w:t>
            </w:r>
          </w:p>
        </w:tc>
        <w:tc>
          <w:tcPr>
            <w:tcBorders>
              <w:bottom w:val="single" w:sz="6"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0.060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0.013)</w:t>
            </w:r>
          </w:p>
        </w:tc>
      </w:tr>
      <w:tr>
        <w:trPr>
          <w:trHeight w:val="743" w:hRule="auto"/>
        </w:trPr>
        body2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Wealth</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0.878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0.016)</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0.740</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0.031)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0.138</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0.035)</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0.833</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0.012)</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0.709</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0.124</w:t>
            </w:r>
            <w:r>
              <w:rPr>
                <w:rFonts w:ascii="Helvetica" w:hAnsi="Helvetica" w:eastAsia="Helvetica" w:cs="Helvetica"/>
                <w:i w:val="false"/>
                <w:b w:val="false"/>
                <w:u w:val="none"/>
                <w:sz w:val="20"/>
                <w:szCs w:val="20"/>
                <w:color w:val="000000"/>
              </w:rPr>
              <w:br/>
            </w:r>
            <w:r>
              <w:rPr>
                <w:rFonts w:ascii="Helvetica" w:hAnsi="Helvetica" w:eastAsia="Helvetica" w:cs="Helvetica"/>
                <w:i w:val="false"/>
                <w:b w:val="false"/>
                <w:u w:val="none"/>
                <w:sz w:val="20"/>
                <w:szCs w:val="20"/>
                <w:color w:val="000000"/>
              </w:rPr>
              <w:t xml:space="preserve">(SE = 0.022)</w:t>
            </w:r>
          </w:p>
        </w:tc>
      </w:tr>
    </w:tbl>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z w:val="20"/>
          <w:szCs w:val="20"/>
          <w:color w:val="000000"/>
        </w:rPr>
        <w:t xml:space="preserve">Note: Gini coefficients and distributions based on weighted data using PSID family and clan weights. Wealth is measured excluding home equity. Income data are from 1969 to 2021. Wealth data are from 1984 to 2021. Standard errors are shown in parentheses.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amanda</cp:lastModifiedBy>
  <cp:revision>9</cp:revision>
  <dcterms:created xsi:type="dcterms:W3CDTF">2017-02-28T11:18:00Z</dcterms:created>
  <dcterms:modified xsi:type="dcterms:W3CDTF">2025-12-12T14:34:00Z</dcterms:modified>
  <cp:category/>
</cp:coreProperties>
</file>