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2.pdf" ContentType="application/pdf"/>
  <Override PartName="/word/media/rId28.png" ContentType="image/png"/>
  <Override PartName="/word/media/rId31.png" ContentType="image/png"/>
  <Override PartName="/word/media/rId34.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6.png" ContentType="image/png"/>
  <Override PartName="/word/media/rId80.png" ContentType="image/png"/>
  <Override PartName="/word/media/rId84.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Extended Family Approach to Income and Wealth Inequality in the U.S.</w:t>
      </w:r>
    </w:p>
    <w:p>
      <w:pPr>
        <w:pStyle w:val="Author"/>
      </w:pPr>
      <w:r>
        <w:t xml:space="preserve">Author Name(s)</w:t>
      </w:r>
    </w:p>
    <w:p>
      <w:pPr>
        <w:pStyle w:val="Date"/>
      </w:pPr>
      <w:r>
        <w:t xml:space="preserve">March 11, 2026</w:t>
      </w:r>
    </w:p>
    <w:bookmarkStart w:id="9" w:name="abstract"/>
    <w:p>
      <w:pPr>
        <w:pStyle w:val="Heading1"/>
      </w:pPr>
      <w:r>
        <w:t xml:space="preserve">Abstract</w:t>
      </w:r>
    </w:p>
    <w:p>
      <w:pPr>
        <w:pStyle w:val="FirstParagraph"/>
      </w:pPr>
      <w:r>
        <w:t xml:space="preserve">Most macro-level studies of inequality treat households as the primary unit of analysis.</w:t>
      </w:r>
      <w:r>
        <w:t xml:space="preserve"> </w:t>
      </w:r>
      <w:r>
        <w:t xml:space="preserve">As a result, we know far less about inequality across extended families. Building on</w:t>
      </w:r>
      <w:r>
        <w:t xml:space="preserve"> </w:t>
      </w:r>
      <w:r>
        <w:t xml:space="preserve">research highlighting the importance of intergenerational family ties, we examine income</w:t>
      </w:r>
      <w:r>
        <w:t xml:space="preserve"> </w:t>
      </w:r>
      <w:r>
        <w:t xml:space="preserve">and wealth inequality in the United States using both households and intergenerational</w:t>
      </w:r>
      <w:r>
        <w:t xml:space="preserve"> </w:t>
      </w:r>
      <w:r>
        <w:t xml:space="preserve">extended families, which we term clans, as units of analysis. Using data from the Panel</w:t>
      </w:r>
      <w:r>
        <w:t xml:space="preserve"> </w:t>
      </w:r>
      <w:r>
        <w:t xml:space="preserve">Study of Income Dynamics (PSID), we calculate Gini coefficients for income and wealth at</w:t>
      </w:r>
      <w:r>
        <w:t xml:space="preserve"> </w:t>
      </w:r>
      <w:r>
        <w:t xml:space="preserve">the household and clan levels from 1969 to 2023. We find that inequality is substantially</w:t>
      </w:r>
      <w:r>
        <w:t xml:space="preserve"> </w:t>
      </w:r>
      <w:r>
        <w:t xml:space="preserve">lower when measured at the clan rather than the household level. The income Gini declines</w:t>
      </w:r>
      <w:r>
        <w:t xml:space="preserve"> </w:t>
      </w:r>
      <w:r>
        <w:t xml:space="preserve">by 0.12 points on average (from 0.43 to 0.31),</w:t>
      </w:r>
      <w:r>
        <w:t xml:space="preserve"> </w:t>
      </w:r>
      <w:r>
        <w:t xml:space="preserve">a 28.34% reduction, while the wealth Gini declines by</w:t>
      </w:r>
      <w:r>
        <w:t xml:space="preserve"> </w:t>
      </w:r>
      <w:r>
        <w:t xml:space="preserve">0.16 points on average (from 0.82 to 0.66), or about</w:t>
      </w:r>
      <w:r>
        <w:t xml:space="preserve"> </w:t>
      </w:r>
      <w:r>
        <w:t xml:space="preserve">19.6%. Inequality between households is not only higher than</w:t>
      </w:r>
      <w:r>
        <w:t xml:space="preserve"> </w:t>
      </w:r>
      <w:r>
        <w:t xml:space="preserve">inequality between clans on average but consistently higher across all survey years</w:t>
      </w:r>
      <w:r>
        <w:t xml:space="preserve"> </w:t>
      </w:r>
      <w:r>
        <w:t xml:space="preserve">for both income and wealth. Over time, trends in household and clan inequality are similar</w:t>
      </w:r>
      <w:r>
        <w:t xml:space="preserve"> </w:t>
      </w:r>
      <w:r>
        <w:t xml:space="preserve">for wealth, but diverge for income: clan-level income inequality has increased more</w:t>
      </w:r>
      <w:r>
        <w:t xml:space="preserve"> </w:t>
      </w:r>
      <w:r>
        <w:t xml:space="preserve">rapidly than household-level income inequality</w:t>
      </w:r>
      <w:r>
        <w:t xml:space="preserve"> </w:t>
      </w:r>
      <w:r>
        <w:t xml:space="preserve">(20.61% vs. 15.98% since 1969). Together, these findings</w:t>
      </w:r>
      <w:r>
        <w:t xml:space="preserve"> </w:t>
      </w:r>
      <w:r>
        <w:t xml:space="preserve">demonstrate the importance of considering extended families—in addition to</w:t>
      </w:r>
      <w:r>
        <w:t xml:space="preserve"> </w:t>
      </w:r>
      <w:r>
        <w:t xml:space="preserve">households—when exploring contemporary patterns of inequality in the U.S.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across households, overlooking the role of extended families in shaping inequality. Using more than five decades of data from the Panel Study of Income Dynamics, we show that income and wealth inequality are substantially lower when measured across intergenerational extended families rather than households, a finding that holds across all survey years. However, income inequality across extended families has increased more rapidly than household income inequality over time. Together, these findings demonstrate the importance of considering extended families—in addition to households—when exploring contemporary patterns of inequality.</w:t>
      </w:r>
    </w:p>
    <w:bookmarkEnd w:id="10"/>
    <w:bookmarkStart w:id="12"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Gini—like most measures of inequality—is typically calculated at the household level</w:t>
      </w:r>
      <w:r>
        <w:t xml:space="preserve"> </w:t>
      </w:r>
      <w:r>
        <w:t xml:space="preserve">[4, 5]</w:t>
      </w:r>
      <w:r>
        <w:t xml:space="preserve">. As a result, research on inequality typically focuses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 Scholars show that extended family members such as grandparents, aunts, uncles, and cousins transfer resources to individuals that impact their socioeconomic status</w:t>
      </w:r>
      <w:r>
        <w:t xml:space="preserve"> </w:t>
      </w:r>
      <w:r>
        <w:t xml:space="preserve">[13–15]</w:t>
      </w:r>
      <w:r>
        <w:t xml:space="preserve">, and that these resource flows often continue even when family members live geographically far apart</w:t>
      </w:r>
      <w:r>
        <w:t xml:space="preserve"> </w:t>
      </w:r>
      <w:r>
        <w:t xml:space="preserve">[15]</w:t>
      </w:r>
      <w:r>
        <w:t xml:space="preserve">. Yet despite these insights, most macro-level studies of inequality—such as those relying on the Gini coefficient—continue to treat households, or occasionally individuals, as the primary unit of analysis. Consequently, scholars have documented patterns of inequality across households, but know little about inequality across extended families.</w:t>
      </w:r>
    </w:p>
    <w:p>
      <w:pPr>
        <w:pStyle w:val="BodyText"/>
      </w:pPr>
      <w:r>
        <w:t xml:space="preserve">Drawing on scholarship showing the importance of extended families, we ask: what do income and wealth inequality in the U.S. look like when examined not only at the household level but also at the level of intergenerational extended families—what we refer to as</w:t>
      </w:r>
      <w:r>
        <w:t xml:space="preserve"> </w:t>
      </w:r>
      <w:r>
        <w:t xml:space="preserve">“clans”</w:t>
      </w:r>
      <w:r>
        <w:t xml:space="preserve"> </w:t>
      </w:r>
      <w:r>
        <w:t xml:space="preserve">[16]</w:t>
      </w:r>
      <w:r>
        <w:t xml:space="preserve">.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clans include all descendants linked to an original household through a family identifier. In practice, this means that clans are comprised of households linked by birth, marriage, and adoption spanning multiple generations and extended kin ties (grandparents, aunts, uncles, and cousins and in some cases great-grandparents, great-uncles, second cousins, and so on).</w:t>
      </w:r>
    </w:p>
    <w:p>
      <w:pPr>
        <w:pStyle w:val="BodyText"/>
      </w:pPr>
      <w:r>
        <w:t xml:space="preserve">We calculate Gini coefficients for both income and wealth at the household and clan levels from 1969 to 2023. Conceptually, the Gini can be understood as the average difference between any two units in a population. Arithmetically, it is the average absolute difference between all pairs of observations, normalized by the mean. The Gini is often illustrated with the Lorenz curve, which plots the cumulative share of income or wealth against the cumulative share of the population—whether defined as households or clans. Perfect equality appears as a 45° line where income or wealth is distributed evenly; greater inequality pulls the curve farther below this line. The Gini summarizes this deviation from perfect equality. Comparing household- and clan-level Ginis therefore shows whether the average difference between households is larger or smaller than the average difference between clans.</w:t>
      </w:r>
    </w:p>
    <w:p>
      <w:pPr>
        <w:pStyle w:val="BodyText"/>
      </w:pPr>
      <w:r>
        <w:t xml:space="preserve">Using clans as the unit of analysis requires aggregating households. One may think that aggregating units smooths variation and will inherently lead to a Gini coefficient representing less inequality. However, this is not the case. Using simulated data, we show that it is possible to obtain clan-level Gini coefficients equal to or higher than a household-level Gini coefficient (see Appendix Table A). Whether the Gini coefficient increases or decreases from the household to the clan level depends on the relationship between clan size, the overall distribution of resources, and the selection of households into clans.</w:t>
      </w:r>
    </w:p>
    <w:bookmarkEnd w:id="12"/>
    <w:bookmarkStart w:id="25" w:name="results"/>
    <w:p>
      <w:pPr>
        <w:pStyle w:val="Heading1"/>
      </w:pP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clans over time. Reflecting available data, Panel A plots income Gini coefficients from 1969 to 2023 and Panel B plots wealth Gini coefficients from 1984 to 2023. Inequality is lower when using clans as the unit of analysis rather than households. The Gini coefficient for income falls by 0.12 points on average (from 0.43 to 0.31), a 28.34% decline, while the wealth Gini falls by 0.16 points on average (from 0.82 to 0.66), about a 19.6% decrease. Taken together, these results indicate that both wealth and income inequality are higher when measured using households versus extended family units.</w:t>
      </w:r>
    </w:p>
    <w:p>
      <w:pPr>
        <w:pStyle w:val="BodyText"/>
      </w:pPr>
      <w:r>
        <w:drawing>
          <wp:inline>
            <wp:extent cx="5334000" cy="4191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Weighted mean income: $107,534 (households), $415,687 (clans). Weighted mean wealth: $490,457 (households), $1,884,939 (clans; includes home equity). Income Gini changed by 16.0% for households (0.41 in 1969 to 0.48 in 2023) and by 20.6% for clans (0.30 to 0.36). Wealth Gini changed by 4.5% for households (0.78 in 1984 to 0.81 in 2023) and by 4.4% for clans (0.61 to 0.64). On average across all years, the income Gini is 0.123 higher for households than clans; the wealth Gini is 0.160 higher. Solid lines = households; dotted lines = clans.</w:t>
      </w:r>
    </w:p>
    <w:p>
      <w:pPr>
        <w:pStyle w:val="BodyText"/>
      </w:pPr>
      <w:r>
        <w:t xml:space="preserve">Figure 1 shows that inequality between households is consistently higher than inequality between clans across all survey years for both income and wealth. This means that if two clans were randomly selected and compared by income or wealth in any available year, they would, on average, differ less than two randomly selected households.</w:t>
      </w:r>
    </w:p>
    <w:p>
      <w:pPr>
        <w:pStyle w:val="BodyText"/>
      </w:pPr>
      <w:r>
        <w:t xml:space="preserve">We find inequality is higher for wealth than for income. This finding is consistent with prior research showing how wealth accumulates over time and generations, retaining the imprint of earlier opportunities and constraints in a way that income does not</w:t>
      </w:r>
      <w:r>
        <w:t xml:space="preserve"> </w:t>
      </w:r>
      <w:r>
        <w:t xml:space="preserve">[5, 17]</w:t>
      </w:r>
      <w:r>
        <w:t xml:space="preserve">. As such, wealth reflects long-run inequality and intergenerationally accumulated advantages and disadvantages.</w:t>
      </w:r>
    </w:p>
    <w:p>
      <w:pPr>
        <w:pStyle w:val="BodyText"/>
      </w:pPr>
      <w:r>
        <w:t xml:space="preserve">Changes over time in household and clan inequality are similar for wealth, but not for income. Income inequality measured at the household level rose by 16.0% from 0.41 in 1969 to 0.48 in 2023. Income inequality measured at the clan level, meanwhile, rose 20.6% from 0.30 to 0.36 over the same period. As both measurements are trending upwards, this means that clan income inequality is increasing at a faster pace than household income inequality. If we were to project these trends linearly into the future, by 705 household and clan income inequality would appear identical. Put another way, these trends reflect a narrowing of income inequality between households and clans over time: in 1969 the gap between the two was 0.12. By 2023 it had decreased to 0.12. But the gap is still far from closing.</w:t>
      </w:r>
    </w:p>
    <w:p>
      <w:pPr>
        <w:pStyle w:val="BodyText"/>
      </w:pPr>
      <w:r>
        <w:t xml:space="preserve">Unlike income inequality, the gap between household and clan wealth inequality has remained remarkably consistent. Wealth inequality typically exhibits greater temporal stability, whereas income inequality is more dynamic, because income is a flow that responds more quickly to labor-market conditions and policy shifts. Household wealth Gini has increased only slightly from 0.78 in 1984 to 0.81 in 2023, a 4.5% increase. At the clan level, it rose from 0.61 to 0.64 over the same period, which also constitutes a 4.4% increase. In other words, the clan-household gap in wealth inequality as measured by the Gini coefficient has remained stable, moving from 0.17 in 1984 to 0.17 in 2023. These trends should be interpreted as inequality that excludes the wealthy. The PSID does not adequately sample the top of the wealth distribution</w:t>
      </w:r>
      <w:r>
        <w:t xml:space="preserve"> </w:t>
      </w:r>
      <w:r>
        <w:t xml:space="preserve">[18]</w:t>
      </w:r>
      <w:r>
        <w:t xml:space="preserve">, which drives much of the inequality in wealth</w:t>
      </w:r>
      <w:r>
        <w:t xml:space="preserve"> </w:t>
      </w:r>
      <w:r>
        <w:t xml:space="preserve">[18, 19]</w:t>
      </w:r>
      <w:r>
        <w:t xml:space="preserve">. Therefore, these patterns indicate stable wealth inequality, for both households and clans, among the bottom 95% [change number depending on cites], not for society as a whole.</w:t>
      </w:r>
    </w:p>
    <w:p>
      <w:pPr>
        <w:pStyle w:val="BodyText"/>
      </w:pPr>
      <w:r>
        <w:rPr>
          <w:b/>
          <w:bCs/>
        </w:rPr>
        <w:t xml:space="preserve">Comparing household and clan distributions.</w:t>
      </w:r>
      <w:r>
        <w:t xml:space="preserve"> </w:t>
      </w:r>
      <w:r>
        <w:t xml:space="preserve">Figure 2 illustrates differences in income and wealth inequality estimates using Lorenz curves at two points in time: 1984 (blue) and 2023 (orange). These curves teach us two things about the differences between household and clan inequality: first, the differences between inequality measured through the two units are driven by different parts of the distribution for income and wealth. In both 1984 and 2023, the clan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clan wealth inequality are driven by those at the middle of the wealth distribution, whereas the gap between household and clan income inequality capture differences between units across the entire distribution—from those with the lowest incomes to those at the 95th percentile of the income distribution.</w:t>
      </w:r>
    </w:p>
    <w:p>
      <w:pPr>
        <w:pStyle w:val="BodyText"/>
      </w:pPr>
      <w:r>
        <w:drawing>
          <wp:inline>
            <wp:extent cx="5334000" cy="4191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clan weights. Wealth includes home equity. Solid lines = households; dotted lines = clans. Income in 1984: weighted mean (median) $27,647 ($22,520) for households, $85,338 ($71,914) for clans. Income in 2023: $297,591 ($196,196) for households, $1,487,913 ($1,059,244) for clans.</w:t>
      </w:r>
    </w:p>
    <w:p>
      <w:pPr>
        <w:pStyle w:val="BodyText"/>
      </w:pPr>
      <w:r>
        <w:t xml:space="preserve">Second, the Lorenz curves bring into focus the different scales of the differences between household inequality and clan inequality for income and wealth. For income inequality (Panel A), the difference between household and clan inequality appears smaller compared with changes in inequality between 1984 and 2023. That both 1984 curves are closer to the line of equality than both 2023 curves means that the increase of income inequality over time is starker than differences in unit of analysis. But for wealth inequality (Panel B) this is not the case. For wealth inequality, both clan (dotted) lines are closer to the line of equality than both household (solid) lines. This means that the difference across unit of measurement is starker than the change over time.</w:t>
      </w:r>
    </w:p>
    <w:p>
      <w:pPr>
        <w:pStyle w:val="BodyText"/>
      </w:pPr>
      <w:r>
        <w:rPr>
          <w:b/>
          <w:bCs/>
        </w:rPr>
        <w:t xml:space="preserve">How the unit of analysis affects the racial wealth gap</w:t>
      </w:r>
      <w:r>
        <w:t xml:space="preserve"> </w:t>
      </w:r>
      <w:r>
        <w:drawing>
          <wp:inline>
            <wp:extent cx="5334000" cy="4191000"/>
            <wp:effectExtent b="0" l="0" r="0" t="0"/>
            <wp:docPr descr="" title="" id="20" name="Picture"/>
            <a:graphic>
              <a:graphicData uri="http://schemas.openxmlformats.org/drawingml/2006/picture">
                <pic:pic>
                  <pic:nvPicPr>
                    <pic:cNvPr descr="../9_figures/output/figure3.pdf" id="21" name="Picture"/>
                    <pic:cNvPicPr>
                      <a:picLocks noChangeArrowheads="1" noChangeAspect="1"/>
                    </pic:cNvPicPr>
                  </pic:nvPicPr>
                  <pic:blipFill>
                    <a:blip r:embed="rId19"/>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weighted mean income (Panel A) or wealth (Panel B) for Black relative to Non-Black households and clans. Weighted mean income for Black HH is $36,205, $56,600 for Non-Black HH, $60,000 for Black clans, and $108,522 for Non-Black clans. The income ratio changed by -5.2% for households (0.65 in 1969 to 0.62 in 2023) and -7.8% for clans (0.63 to 0.58). Weighted mean wealth for Black HH is $89,761, $476,552 for Non-Black HH, $147,662 for Black clans, and $818,198 for Non-Black clans (includes home equity). The wealth ratio changed by 1.0% for households (0.18 in 1984 to 0.18 in 2023) and -13.7% for clans (0.23 to 0.20). On average across all years, the income ratio is -0.006 lower for households than clans, and the wealth ratio is 0.014 higher for households than clans. Solid lines = households; dotted lines = clans.</w:t>
      </w:r>
    </w:p>
    <w:p>
      <w:pPr>
        <w:pStyle w:val="BodyText"/>
      </w:pPr>
      <w:r>
        <w:drawing>
          <wp:inline>
            <wp:extent cx="5334000" cy="4191000"/>
            <wp:effectExtent b="0" l="0" r="0" t="0"/>
            <wp:docPr descr="" title="" id="23" name="Picture"/>
            <a:graphic>
              <a:graphicData uri="http://schemas.openxmlformats.org/drawingml/2006/picture">
                <pic:pic>
                  <pic:nvPicPr>
                    <pic:cNvPr descr="../9_figures/output/figure4.pdf" id="24" name="Picture"/>
                    <pic:cNvPicPr>
                      <a:picLocks noChangeArrowheads="1" noChangeAspect="1"/>
                    </pic:cNvPicPr>
                  </pic:nvPicPr>
                  <pic:blipFill>
                    <a:blip r:embed="rId22"/>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weighted median income (Panel A) or wealth (Panel B) for Black relative to Non-Black households and clans. The weighted median income for Black HHs is $17,621, $29,233 for Non-Black HHs, $36,562 for Black clans, and $62,916 for Non-Black clans. The income ratio changed by 5.8% for households (0.59 in 1969 to 0.62 in 2023) and 0.2% for clans (0.57 to 0.57). Weighted median wealth for Black HHs is $6,908, $79,216 for Non-Black HHs, $58,326 for Black clans, and $306,988 for Non-Black clans (includes home equity). The wealth ratio changed by -4.6% for households (0.07 in 1984 to 0.07 in 2023) and 7.5% for clans (0.20 to 0.22). On average across all years, the income ratio is -0.044 lower for households than clans, and the wealth ratio is -0.112 lower for households than clans. Solid lines = households; dotted lines = clans.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Median Income and Wealth by Race: Households vs.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Median Income HH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Median Income Clan</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Median Wealth HH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Median Wealth Clan</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HH with 0 Wealth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Clans with 0 Wealth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Black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17,621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36,562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6,908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58,326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10.1%</w:t>
            </w:r>
          </w:p>
        </w:tc>
      </w:tr>
      <w:tr>
        <w:trPr>
          <w:trHeight w:val="360" w:hRule="auto"/>
        </w:trPr>
        body2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Non-Black</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29,233</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62,916</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79,216</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306,988</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13.4%</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3.2%</w:t>
            </w:r>
          </w:p>
        </w:tc>
      </w:tr>
      <w:tr>
        <w:trPr>
          <w:trHeight w:val="360" w:hRule="auto"/>
        </w:trPr>
        body3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Ratio</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0.60</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0.58</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0.09</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0.19</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2.44</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3.18</w:t>
            </w:r>
          </w:p>
        </w:tc>
      </w:tr>
    </w:tbl>
    <w:p>
      <w:pPr>
        <w:pStyle w:val="BodyText"/>
      </w:pPr>
      <w:r>
        <w:rPr>
          <w:i/>
          <w:iCs/>
        </w:rPr>
        <w:t xml:space="preserve">Note: All values are weighted using PSID family and clan weights and pooled across all years. Income and wealth are size-standardised (divided by household or clan size). Wealth includes home equity.</w:t>
      </w:r>
      <w:r>
        <w:rPr>
          <w:i/>
          <w:iCs/>
        </w:rPr>
        <w:t xml:space="preserve"> </w:t>
      </w:r>
      <w:r>
        <w:rPr>
          <w:i/>
          <w:iCs/>
        </w:rPr>
        <w:t xml:space="preserve">‘0 Wealth’</w:t>
      </w:r>
      <w:r>
        <w:rPr>
          <w:i/>
          <w:iCs/>
        </w:rPr>
        <w:t xml:space="preserve"> </w:t>
      </w:r>
      <w:r>
        <w:rPr>
          <w:i/>
          <w:iCs/>
        </w:rPr>
        <w:t xml:space="preserve">indicates wealth &lt;= 0. Ratio row shows Black / Non-Black.</w:t>
      </w:r>
    </w:p>
    <w:p>
      <w:pPr>
        <w:pStyle w:val="BodyText"/>
      </w:pPr>
      <w:r>
        <w:rPr>
          <w:b/>
          <w:bCs/>
        </w:rPr>
        <w:t xml:space="preserve">Sensitivity of difference between household- and clan-level Gini coefficients.</w:t>
      </w:r>
      <w:r>
        <w:t xml:space="preserve"> </w:t>
      </w:r>
      <w:r>
        <w:t xml:space="preserve">Across all specifications, estimated inequality is lower when using clans rather than households as the unit of analysis. This finding is robust across race, different inclusion criteria for income and wealth measures, different samples, alternative measures of inequality, and when adjusting for household and clan size. Results from sensitivity analyses are available in Appendix C and D.</w:t>
      </w:r>
    </w:p>
    <w:bookmarkEnd w:id="25"/>
    <w:bookmarkStart w:id="26"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both income and wealth inequality were more extreme, as per Gini coefficients, when examining society as a collection of households (the standard in the literature) rather than a collection of clans. Income inequality was about 6 points higher for households than for clans, and wealth inequality was about 12 points higher, indicating fewer disparities on average between extended family networks than between households. In other words, an individual’s extended family was more economically similar on average to other extended families than their household was to other households. Thus, claims that current estimates, which focus on households, underestimate inequality</w:t>
      </w:r>
      <w:r>
        <w:t xml:space="preserve"> </w:t>
      </w:r>
      <w:r>
        <w:t xml:space="preserve">[10]</w:t>
      </w:r>
      <w:r>
        <w:t xml:space="preserve"> </w:t>
      </w:r>
      <w:r>
        <w:t xml:space="preserve">may be exaggerated. Inequality between larger family units is lower than inequality between households.</w:t>
      </w:r>
    </w:p>
    <w:p>
      <w:pPr>
        <w:pStyle w:val="BodyText"/>
      </w:pPr>
      <w:r>
        <w:t xml:space="preserve">Our analyses provided an important complement to existing scholarship on income and wealth inequality that typically measures inequality at the household level (or in some cases the individual level). Our aim is not to downplay the importance of households as units of analysis, but rather to show that considering multiple units of analysis—including households and clans—is helpful for fully understanding inequality as a complex societal phenomenon. The choice of analytical unit matters in part because different historical periods generate changes in inequality at some levels more than others. For example, our analyses showed that clan-level income inequality has increased more rapidly than household-level income inequality over the study period. By contrast, trends in household and clan inequality were similar for wealth over time. This may reflect the cumulative nature of wealth, which is more durably concentrated within kinship networks</w:t>
      </w:r>
      <w:r>
        <w:t xml:space="preserve"> </w:t>
      </w:r>
      <w:r>
        <w:t xml:space="preserve">[11, 13, 20]</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Differences in historical patterns between households and clans may reflect changes in mobility over time. Mechanically, lower mobility produces greater homogeneity within clans over time, whereas higher mobility has the opposite effect. Conversely, inequality across extended families may build atop inequality across households in reducing mobility. If resources and constraints are transmitted within clans then rising inequality may further reduce mobility for those in disadvantaged households. In other words, the prevalent concern that high inequality undermines intergenerational mobility</w:t>
      </w:r>
      <w:r>
        <w:t xml:space="preserve"> </w:t>
      </w:r>
      <w:r>
        <w:t xml:space="preserve">[21–23]</w:t>
      </w:r>
      <w:r>
        <w:t xml:space="preserve"> </w:t>
      </w:r>
      <w:r>
        <w:t xml:space="preserve">may operate on both the household and clan levels, fueling future differences in inequality between households and clans. 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6"/>
    <w:bookmarkStart w:id="27" w:name="materials-and-methods"/>
    <w:p>
      <w:pPr>
        <w:pStyle w:val="Heading1"/>
      </w:pP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clans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[18]</w:t>
      </w:r>
      <w:r>
        <w:t xml:space="preserve">.</w:t>
      </w:r>
    </w:p>
    <w:p>
      <w:pPr>
        <w:pStyle w:val="BodyText"/>
      </w:pPr>
      <w:r>
        <w:t xml:space="preserve">The PSID facilitates two linked units of analysis: households and clans.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As a result, unique households cannot be identified over time in the PSID. In contrast, clans include all descendants of households sampled in 1968, linked through a PSID-generated identifier, which we refer to as a clan identifier. Households added after 1968 receive their own clan identifier upon entry. Unlike household identifiers, clan membership remains fixed for individuals and can be compared over time. A small number of households (134 household-years) contain couples belonging to different clans; these cases were assigned to both clans.</w:t>
      </w:r>
    </w:p>
    <w:p>
      <w:pPr>
        <w:pStyle w:val="BodyText"/>
      </w:pPr>
      <w:r>
        <w:t xml:space="preserve">The PSID has collected income data since its inception but began collecting wealth data only in 1984. As a result, analytic samples differ: income analyses include 242,200 household-years and 64,292 clan-years, representing 2,906 unique clans; wealth analyses include 122,069 household-years and 26,655 clan-years, representing 2,636 unique clans.</w:t>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17, 20]</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 </w:t>
      </w:r>
      <w:r>
        <w:t xml:space="preserve">[20, 24]</w:t>
      </w:r>
      <w:r>
        <w:t xml:space="preserve">. All income and wealth values are adjusted for inflation. Additionally, analyses set negative values of income and wealth to zero so that Gini coefficients remain in the 0 to 1 range (see Appendix D1 and F1). To construct clan-level measures, we aggregate household income and wealth for all households in a clan within each clan-year.</w:t>
      </w:r>
    </w:p>
    <w:p>
      <w:pPr>
        <w:pStyle w:val="BodyText"/>
      </w:pPr>
      <w:r>
        <w:t xml:space="preserve">All results presented are weighted. Using weights does not meaningfully change results (see Appendix D4 and F4).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clan-level weights using the same fair shares principle. Clan weights assume that the probability of observing a family within a clan equals the probability of observing the clan itself. These weights are applied to total clan income or wealth (rather than mean income or wealth) to avoid double standardization by household counts. In effect, clan weights already incorporate the number of households within a clan. As a result, each clan’s influence reflects the representation of the average household within that clan, rather than scaling mechanically with the clan’s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[25]</w:t>
      </w:r>
      <w:r>
        <w:t xml:space="preserve">. Black households are all households with a Black head of household. Black clans are clans in which more than half of the households within it identify as Black. Analyses by race and ethnicity are limited to Black and non-Black categories because there are relatively few clans in the PSID data (2,906 for income and 2,636 for wealth). Additionally, the genealogical design of the PSID reflects the demographics of the United States at the time the survey began in 1968, which constrains analyses of clans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clans.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Although widely used, the Gini has well-known limitations: it cannot distinguish between different inequality patterns and is most sensitive to variation in the middle of the income or wealth distribution</w:t>
      </w:r>
      <w:r>
        <w:t xml:space="preserve"> </w:t>
      </w:r>
      <w:r>
        <w:t xml:space="preserve">[26–28]</w:t>
      </w:r>
      <w:r>
        <w:t xml:space="preserve">. These features make it well suited to the PSID, which underrepresents wealthy households compared with surveys such as the Survey of Consumer Finance.</w:t>
      </w:r>
    </w:p>
    <w:p>
      <w:pPr>
        <w:pStyle w:val="BodyText"/>
      </w:pPr>
      <w:r>
        <w:t xml:space="preserve">Gini coefficients are calculated separately for income and wealth to reflect their distinct dimensions of inequality. Estimates of Gini coefficients in our data are comparable to estimates that other studies have found, though there is more variation in wealth coefficients, likely because the PSID excludes wealthy households (see Appendix B).</w:t>
      </w:r>
    </w:p>
    <w:bookmarkEnd w:id="27"/>
    <w:bookmarkStart w:id="39" w:name="appendix"/>
    <w:p>
      <w:pPr>
        <w:pStyle w:val="Heading1"/>
      </w:pPr>
      <w:r>
        <w:t xml:space="preserve">Appendix</w:t>
      </w:r>
    </w:p>
    <w:bookmarkStart w:id="37" w:name="appendix-a-simulating-gini-coefficients"/>
    <w:p>
      <w:pPr>
        <w:pStyle w:val="Heading2"/>
      </w:pPr>
      <w:r>
        <w:t xml:space="preserve">Appendix A: Simulating Gini Coefficients</w:t>
      </w:r>
    </w:p>
    <w:p>
      <w:pPr>
        <w:pStyle w:val="FirstParagraph"/>
      </w:pPr>
      <w:r>
        <w:t xml:space="preserve">Appendix A illustrates extreme cases from simulated household and clan data. The simulation demonstrates that clan-level Gini coefficients are not necessarily lower than household-level Gini coefficients. The direction of the difference depends on the relationship between clan size, the overall distribution of resources, and the selection of households into clans. Appendix A1 shows the minimum possible difference between clan and household Gini coefficients in the simulated data, while Appendix A2 shows the maximum possible difference. Curves show that Gini coefficients at the clan level can exceed those of households. Appendix A3 illustrates that, while it is more likely for Gini coefficients at the household level to exceed Gini coefficients at the clan level, whether this effect is observed depends on the combination between clan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29" name="Picture"/>
            <a:graphic>
              <a:graphicData uri="http://schemas.openxmlformats.org/drawingml/2006/picture">
                <pic:pic>
                  <pic:nvPicPr>
                    <pic:cNvPr descr="/Users/amanda/Desktop/clan_project/10_draft/output/write_files/figure-docx/appendix-a1-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32" name="Picture"/>
            <a:graphic>
              <a:graphicData uri="http://schemas.openxmlformats.org/drawingml/2006/picture">
                <pic:pic>
                  <pic:nvPicPr>
                    <pic:cNvPr descr="/Users/amanda/Desktop/clan_project/10_draft/output/write_files/figure-docx/appendix-a2-1.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5" name="Picture"/>
            <a:graphic>
              <a:graphicData uri="http://schemas.openxmlformats.org/drawingml/2006/picture">
                <pic:pic>
                  <pic:nvPicPr>
                    <pic:cNvPr descr="/Users/amanda/Desktop/clan_project/10_draft/output/write_files/figure-docx/appendix-a3-1.png" id="36" name="Picture"/>
                    <pic:cNvPicPr>
                      <a:picLocks noChangeArrowheads="1" noChangeAspect="1"/>
                    </pic:cNvPicPr>
                  </pic:nvPicPr>
                  <pic:blipFill>
                    <a:blip r:embed="rId34"/>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7"/>
    <w:bookmarkStart w:id="38" w:name="X8f4b25e330c8c7d4282a452909c1adb149e7ace"/>
    <w:p>
      <w:pPr>
        <w:pStyle w:val="Heading2"/>
      </w:pP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clan with at least one other household (which are the results presented in the main paper).</w:t>
      </w:r>
    </w:p>
    <w:p>
      <w:pPr>
        <w:pStyle w:val="BodyText"/>
      </w:pPr>
      <w:r>
        <w:t xml:space="preserve">Gini coefficients are not available for all years in other sources, so only years available are presented. Gini coefficient benchmarks for income rely on estimates from the Federal Reserve Bank of St. Louis (FRED) and the U.S. Census</w:t>
      </w:r>
      <w:r>
        <w:t xml:space="preserve"> </w:t>
      </w:r>
      <w:r>
        <w:t xml:space="preserve">[1, 29]</w:t>
      </w:r>
      <w:r>
        <w:t xml:space="preserve">. FRED uses data from the World Bank on U.S. households and the Census uses data from the Current Population Survey (CPS). Gini coefficient benchmarks for wealth rely on estimates from research papers based on data from the PSID or Survey of Consumer Finances (SCF)</w:t>
      </w:r>
      <w:r>
        <w:t xml:space="preserve"> </w:t>
      </w:r>
      <w:r>
        <w:t xml:space="preserve">[30, 31]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0.818</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r>
    </w:tbl>
    <w:bookmarkEnd w:id="38"/>
    <w:bookmarkEnd w:id="39"/>
    <w:bookmarkStart w:id="43" w:name="X0725f81ad50d659f5f315d5b9354a8278899984"/>
    <w:p>
      <w:pPr>
        <w:pStyle w:val="Heading1"/>
      </w:pPr>
      <w:r>
        <w:t xml:space="preserve">Appendix C: Alternative Inequality Measures</w:t>
      </w:r>
    </w:p>
    <w:p>
      <w:pPr>
        <w:pStyle w:val="FirstParagraph"/>
      </w:pPr>
      <w:r>
        <w:drawing>
          <wp:inline>
            <wp:extent cx="5334000" cy="4953000"/>
            <wp:effectExtent b="0" l="0" r="0" t="0"/>
            <wp:docPr descr="" title="" id="41" name="Picture"/>
            <a:graphic>
              <a:graphicData uri="http://schemas.openxmlformats.org/drawingml/2006/picture">
                <pic:pic>
                  <pic:nvPicPr>
                    <pic:cNvPr descr="/Users/amanda/Desktop/clan_project/10_draft/output/write_files/figure-docx/appendix-c-1.png" id="42" name="Picture"/>
                    <pic:cNvPicPr>
                      <a:picLocks noChangeArrowheads="1" noChangeAspect="1"/>
                    </pic:cNvPicPr>
                  </pic:nvPicPr>
                  <pic:blipFill>
                    <a:blip r:embed="rId40"/>
                    <a:stretch>
                      <a:fillRect/>
                    </a:stretch>
                  </pic:blipFill>
                  <pic:spPr bwMode="auto">
                    <a:xfrm>
                      <a:off x="0" y="0"/>
                      <a:ext cx="5334000" cy="4953000"/>
                    </a:xfrm>
                    <a:prstGeom prst="rect">
                      <a:avLst/>
                    </a:prstGeom>
                    <a:noFill/>
                    <a:ln w="9525">
                      <a:noFill/>
                      <a:headEnd/>
                      <a:tailEnd/>
                    </a:ln>
                  </pic:spPr>
                </pic:pic>
              </a:graphicData>
            </a:graphic>
          </wp:inline>
        </w:drawing>
      </w:r>
    </w:p>
    <w:bookmarkEnd w:id="43"/>
    <w:bookmarkStart w:id="47" w:name="appendix-d1-sensitivity-negative-values"/>
    <w:p>
      <w:pPr>
        <w:pStyle w:val="Heading1"/>
      </w:pPr>
      <w:r>
        <w:t xml:space="preserve">Appendix D1: Sensitivity — Negative Values</w:t>
      </w:r>
    </w:p>
    <w:p>
      <w:pPr>
        <w:pStyle w:val="FirstParagraph"/>
      </w:pPr>
      <w:r>
        <w:drawing>
          <wp:inline>
            <wp:extent cx="5334000" cy="4191000"/>
            <wp:effectExtent b="0" l="0" r="0" t="0"/>
            <wp:docPr descr="" title="" id="45" name="Picture"/>
            <a:graphic>
              <a:graphicData uri="http://schemas.openxmlformats.org/drawingml/2006/picture">
                <pic:pic>
                  <pic:nvPicPr>
                    <pic:cNvPr descr="/Users/amanda/Desktop/clan_project/10_draft/output/write_files/figure-docx/appendix-d1-1.png" id="46" name="Picture"/>
                    <pic:cNvPicPr>
                      <a:picLocks noChangeArrowheads="1" noChangeAspect="1"/>
                    </pic:cNvPicPr>
                  </pic:nvPicPr>
                  <pic:blipFill>
                    <a:blip r:embed="rId44"/>
                    <a:stretch>
                      <a:fillRect/>
                    </a:stretch>
                  </pic:blipFill>
                  <pic:spPr bwMode="auto">
                    <a:xfrm>
                      <a:off x="0" y="0"/>
                      <a:ext cx="5334000" cy="4191000"/>
                    </a:xfrm>
                    <a:prstGeom prst="rect">
                      <a:avLst/>
                    </a:prstGeom>
                    <a:noFill/>
                    <a:ln w="9525">
                      <a:noFill/>
                      <a:headEnd/>
                      <a:tailEnd/>
                    </a:ln>
                  </pic:spPr>
                </pic:pic>
              </a:graphicData>
            </a:graphic>
          </wp:inline>
        </w:drawing>
      </w:r>
    </w:p>
    <w:bookmarkEnd w:id="47"/>
    <w:bookmarkStart w:id="51" w:name="X2c0ca198151b488f0a5fd9ab3a13059241107bf"/>
    <w:p>
      <w:pPr>
        <w:pStyle w:val="Heading1"/>
      </w:pPr>
      <w:r>
        <w:t xml:space="preserve">Appendix D2: Sensitivity — Wealth With and Without Home Equity</w:t>
      </w:r>
    </w:p>
    <w:p>
      <w:pPr>
        <w:pStyle w:val="FirstParagraph"/>
      </w:pPr>
      <w:r>
        <w:drawing>
          <wp:inline>
            <wp:extent cx="5334000" cy="2667000"/>
            <wp:effectExtent b="0" l="0" r="0" t="0"/>
            <wp:docPr descr="" title="" id="49" name="Picture"/>
            <a:graphic>
              <a:graphicData uri="http://schemas.openxmlformats.org/drawingml/2006/picture">
                <pic:pic>
                  <pic:nvPicPr>
                    <pic:cNvPr descr="/Users/amanda/Desktop/clan_project/10_draft/output/write_files/figure-docx/appendix-d2-1.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bookmarkEnd w:id="51"/>
    <w:bookmarkStart w:id="55" w:name="X796f0aa327689e7912dc08c18898cdb7c82e5b7"/>
    <w:p>
      <w:pPr>
        <w:pStyle w:val="Heading1"/>
      </w:pPr>
      <w:r>
        <w:t xml:space="preserve">Appendix D3: Sensitivity — Single-Household Clans</w:t>
      </w:r>
    </w:p>
    <w:p>
      <w:pPr>
        <w:pStyle w:val="FirstParagraph"/>
      </w:pPr>
      <w:r>
        <w:drawing>
          <wp:inline>
            <wp:extent cx="5334000" cy="4191000"/>
            <wp:effectExtent b="0" l="0" r="0" t="0"/>
            <wp:docPr descr="" title="" id="53" name="Picture"/>
            <a:graphic>
              <a:graphicData uri="http://schemas.openxmlformats.org/drawingml/2006/picture">
                <pic:pic>
                  <pic:nvPicPr>
                    <pic:cNvPr descr="/Users/amanda/Desktop/clan_project/10_draft/output/write_files/figure-docx/appendix-d3-1.png" id="54" name="Picture"/>
                    <pic:cNvPicPr>
                      <a:picLocks noChangeArrowheads="1" noChangeAspect="1"/>
                    </pic:cNvPicPr>
                  </pic:nvPicPr>
                  <pic:blipFill>
                    <a:blip r:embed="rId52"/>
                    <a:stretch>
                      <a:fillRect/>
                    </a:stretch>
                  </pic:blipFill>
                  <pic:spPr bwMode="auto">
                    <a:xfrm>
                      <a:off x="0" y="0"/>
                      <a:ext cx="5334000" cy="4191000"/>
                    </a:xfrm>
                    <a:prstGeom prst="rect">
                      <a:avLst/>
                    </a:prstGeom>
                    <a:noFill/>
                    <a:ln w="9525">
                      <a:noFill/>
                      <a:headEnd/>
                      <a:tailEnd/>
                    </a:ln>
                  </pic:spPr>
                </pic:pic>
              </a:graphicData>
            </a:graphic>
          </wp:inline>
        </w:drawing>
      </w:r>
    </w:p>
    <w:bookmarkEnd w:id="55"/>
    <w:bookmarkStart w:id="59" w:name="appendix-d4-sensitivity-weighting"/>
    <w:p>
      <w:pPr>
        <w:pStyle w:val="Heading1"/>
      </w:pPr>
      <w:r>
        <w:t xml:space="preserve">Appendix D4: Sensitivity — Weighting</w:t>
      </w:r>
    </w:p>
    <w:p>
      <w:pPr>
        <w:pStyle w:val="FirstParagraph"/>
      </w:pPr>
      <w:r>
        <w:drawing>
          <wp:inline>
            <wp:extent cx="5334000" cy="4191000"/>
            <wp:effectExtent b="0" l="0" r="0" t="0"/>
            <wp:docPr descr="" title="" id="57" name="Picture"/>
            <a:graphic>
              <a:graphicData uri="http://schemas.openxmlformats.org/drawingml/2006/picture">
                <pic:pic>
                  <pic:nvPicPr>
                    <pic:cNvPr descr="/Users/amanda/Desktop/clan_project/10_draft/output/write_files/figure-docx/appendix-d4-1.png" id="58" name="Picture"/>
                    <pic:cNvPicPr>
                      <a:picLocks noChangeArrowheads="1" noChangeAspect="1"/>
                    </pic:cNvPicPr>
                  </pic:nvPicPr>
                  <pic:blipFill>
                    <a:blip r:embed="rId56"/>
                    <a:stretch>
                      <a:fillRect/>
                    </a:stretch>
                  </pic:blipFill>
                  <pic:spPr bwMode="auto">
                    <a:xfrm>
                      <a:off x="0" y="0"/>
                      <a:ext cx="5334000" cy="4191000"/>
                    </a:xfrm>
                    <a:prstGeom prst="rect">
                      <a:avLst/>
                    </a:prstGeom>
                    <a:noFill/>
                    <a:ln w="9525">
                      <a:noFill/>
                      <a:headEnd/>
                      <a:tailEnd/>
                    </a:ln>
                  </pic:spPr>
                </pic:pic>
              </a:graphicData>
            </a:graphic>
          </wp:inline>
        </w:drawing>
      </w:r>
    </w:p>
    <w:bookmarkEnd w:id="59"/>
    <w:bookmarkStart w:id="63" w:name="X47e0622b93f76056e7f4ad3b772b6ce26b8cfe3"/>
    <w:p>
      <w:pPr>
        <w:pStyle w:val="Heading1"/>
      </w:pPr>
      <w:r>
        <w:t xml:space="preserve">Appendix D5: Sensitivity — Size Standardization</w:t>
      </w:r>
    </w:p>
    <w:p>
      <w:pPr>
        <w:pStyle w:val="FirstParagraph"/>
      </w:pPr>
      <w:r>
        <w:drawing>
          <wp:inline>
            <wp:extent cx="5334000" cy="4191000"/>
            <wp:effectExtent b="0" l="0" r="0" t="0"/>
            <wp:docPr descr="" title="" id="61" name="Picture"/>
            <a:graphic>
              <a:graphicData uri="http://schemas.openxmlformats.org/drawingml/2006/picture">
                <pic:pic>
                  <pic:nvPicPr>
                    <pic:cNvPr descr="/Users/amanda/Desktop/clan_project/10_draft/output/write_files/figure-docx/appendix-d5-1.png" id="62" name="Picture"/>
                    <pic:cNvPicPr>
                      <a:picLocks noChangeArrowheads="1" noChangeAspect="1"/>
                    </pic:cNvPicPr>
                  </pic:nvPicPr>
                  <pic:blipFill>
                    <a:blip r:embed="rId60"/>
                    <a:stretch>
                      <a:fillRect/>
                    </a:stretch>
                  </pic:blipFill>
                  <pic:spPr bwMode="auto">
                    <a:xfrm>
                      <a:off x="0" y="0"/>
                      <a:ext cx="5334000" cy="4191000"/>
                    </a:xfrm>
                    <a:prstGeom prst="rect">
                      <a:avLst/>
                    </a:prstGeom>
                    <a:noFill/>
                    <a:ln w="9525">
                      <a:noFill/>
                      <a:headEnd/>
                      <a:tailEnd/>
                    </a:ln>
                  </pic:spPr>
                </pic:pic>
              </a:graphicData>
            </a:graphic>
          </wp:inline>
        </w:drawing>
      </w:r>
    </w:p>
    <w:bookmarkEnd w:id="63"/>
    <w:bookmarkStart w:id="67" w:name="X750f075da32d67249c4b5a4cf57648e8a17e2c3"/>
    <w:p>
      <w:pPr>
        <w:pStyle w:val="Heading1"/>
      </w:pPr>
      <w:r>
        <w:t xml:space="preserve">Appendix D6: Gini Coefficients by Race Subgroup</w:t>
      </w:r>
    </w:p>
    <w:p>
      <w:pPr>
        <w:pStyle w:val="FirstParagraph"/>
      </w:pPr>
      <w:r>
        <w:drawing>
          <wp:inline>
            <wp:extent cx="5334000" cy="4191000"/>
            <wp:effectExtent b="0" l="0" r="0" t="0"/>
            <wp:docPr descr="" title="" id="65" name="Picture"/>
            <a:graphic>
              <a:graphicData uri="http://schemas.openxmlformats.org/drawingml/2006/picture">
                <pic:pic>
                  <pic:nvPicPr>
                    <pic:cNvPr descr="/Users/amanda/Desktop/clan_project/10_draft/output/write_files/figure-docx/appendix-d6-1.png" id="66" name="Picture"/>
                    <pic:cNvPicPr>
                      <a:picLocks noChangeArrowheads="1" noChangeAspect="1"/>
                    </pic:cNvPicPr>
                  </pic:nvPicPr>
                  <pic:blipFill>
                    <a:blip r:embed="rId64"/>
                    <a:stretch>
                      <a:fillRect/>
                    </a:stretch>
                  </pic:blipFill>
                  <pic:spPr bwMode="auto">
                    <a:xfrm>
                      <a:off x="0" y="0"/>
                      <a:ext cx="5334000" cy="4191000"/>
                    </a:xfrm>
                    <a:prstGeom prst="rect">
                      <a:avLst/>
                    </a:prstGeom>
                    <a:noFill/>
                    <a:ln w="9525">
                      <a:noFill/>
                      <a:headEnd/>
                      <a:tailEnd/>
                    </a:ln>
                  </pic:spPr>
                </pic:pic>
              </a:graphicData>
            </a:graphic>
          </wp:inline>
        </w:drawing>
      </w:r>
    </w:p>
    <w:bookmarkEnd w:id="67"/>
    <w:bookmarkStart w:id="71" w:name="X3ca48920e7b797c3dd18e23810b9df77528cee2"/>
    <w:p>
      <w:pPr>
        <w:pStyle w:val="Heading1"/>
      </w:pPr>
      <w:r>
        <w:t xml:space="preserve">Appendix E: Distribution of Income and Wealth</w:t>
      </w:r>
    </w:p>
    <w:p>
      <w:pPr>
        <w:pStyle w:val="FirstParagraph"/>
      </w:pPr>
      <w:r>
        <w:drawing>
          <wp:inline>
            <wp:extent cx="5334000" cy="4191000"/>
            <wp:effectExtent b="0" l="0" r="0" t="0"/>
            <wp:docPr descr="" title="" id="69" name="Picture"/>
            <a:graphic>
              <a:graphicData uri="http://schemas.openxmlformats.org/drawingml/2006/picture">
                <pic:pic>
                  <pic:nvPicPr>
                    <pic:cNvPr descr="/Users/amanda/Desktop/clan_project/10_draft/output/write_files/figure-docx/appendix-e-1.png" id="70" name="Picture"/>
                    <pic:cNvPicPr>
                      <a:picLocks noChangeArrowheads="1" noChangeAspect="1"/>
                    </pic:cNvPicPr>
                  </pic:nvPicPr>
                  <pic:blipFill>
                    <a:blip r:embed="rId68"/>
                    <a:stretch>
                      <a:fillRect/>
                    </a:stretch>
                  </pic:blipFill>
                  <pic:spPr bwMode="auto">
                    <a:xfrm>
                      <a:off x="0" y="0"/>
                      <a:ext cx="5334000" cy="4191000"/>
                    </a:xfrm>
                    <a:prstGeom prst="rect">
                      <a:avLst/>
                    </a:prstGeom>
                    <a:noFill/>
                    <a:ln w="9525">
                      <a:noFill/>
                      <a:headEnd/>
                      <a:tailEnd/>
                    </a:ln>
                  </pic:spPr>
                </pic:pic>
              </a:graphicData>
            </a:graphic>
          </wp:inline>
        </w:drawing>
      </w:r>
    </w:p>
    <w:bookmarkEnd w:id="71"/>
    <w:bookmarkStart w:id="75" w:name="appendix-f1-race-ratios-negative-values"/>
    <w:p>
      <w:pPr>
        <w:pStyle w:val="Heading1"/>
      </w:pPr>
      <w:r>
        <w:t xml:space="preserve">Appendix F1: Race Ratios — Negative Values</w:t>
      </w:r>
    </w:p>
    <w:p>
      <w:pPr>
        <w:pStyle w:val="FirstParagraph"/>
      </w:pPr>
      <w:r>
        <w:drawing>
          <wp:inline>
            <wp:extent cx="5334000" cy="4191000"/>
            <wp:effectExtent b="0" l="0" r="0" t="0"/>
            <wp:docPr descr="" title="" id="73" name="Picture"/>
            <a:graphic>
              <a:graphicData uri="http://schemas.openxmlformats.org/drawingml/2006/picture">
                <pic:pic>
                  <pic:nvPicPr>
                    <pic:cNvPr descr="/Users/amanda/Desktop/clan_project/10_draft/output/write_files/figure-docx/appendix-f1-1.png" id="74" name="Picture"/>
                    <pic:cNvPicPr>
                      <a:picLocks noChangeArrowheads="1" noChangeAspect="1"/>
                    </pic:cNvPicPr>
                  </pic:nvPicPr>
                  <pic:blipFill>
                    <a:blip r:embed="rId72"/>
                    <a:stretch>
                      <a:fillRect/>
                    </a:stretch>
                  </pic:blipFill>
                  <pic:spPr bwMode="auto">
                    <a:xfrm>
                      <a:off x="0" y="0"/>
                      <a:ext cx="5334000" cy="4191000"/>
                    </a:xfrm>
                    <a:prstGeom prst="rect">
                      <a:avLst/>
                    </a:prstGeom>
                    <a:noFill/>
                    <a:ln w="9525">
                      <a:noFill/>
                      <a:headEnd/>
                      <a:tailEnd/>
                    </a:ln>
                  </pic:spPr>
                </pic:pic>
              </a:graphicData>
            </a:graphic>
          </wp:inline>
        </w:drawing>
      </w:r>
    </w:p>
    <w:bookmarkEnd w:id="75"/>
    <w:bookmarkStart w:id="79" w:name="Xe408c392d53d71a7a9d72befc7a6c94911a5caf"/>
    <w:p>
      <w:pPr>
        <w:pStyle w:val="Heading1"/>
      </w:pPr>
      <w:r>
        <w:t xml:space="preserve">Appendix F2: Race Ratios — Wealth With and Without Home Equity</w:t>
      </w:r>
    </w:p>
    <w:p>
      <w:pPr>
        <w:pStyle w:val="FirstParagraph"/>
      </w:pPr>
      <w:r>
        <w:drawing>
          <wp:inline>
            <wp:extent cx="5334000" cy="2667000"/>
            <wp:effectExtent b="0" l="0" r="0" t="0"/>
            <wp:docPr descr="" title="" id="77" name="Picture"/>
            <a:graphic>
              <a:graphicData uri="http://schemas.openxmlformats.org/drawingml/2006/picture">
                <pic:pic>
                  <pic:nvPicPr>
                    <pic:cNvPr descr="/Users/amanda/Desktop/clan_project/10_draft/output/write_files/figure-docx/appendix-f2-1.png" id="78" name="Picture"/>
                    <pic:cNvPicPr>
                      <a:picLocks noChangeArrowheads="1" noChangeAspect="1"/>
                    </pic:cNvPicPr>
                  </pic:nvPicPr>
                  <pic:blipFill>
                    <a:blip r:embed="rId76"/>
                    <a:stretch>
                      <a:fillRect/>
                    </a:stretch>
                  </pic:blipFill>
                  <pic:spPr bwMode="auto">
                    <a:xfrm>
                      <a:off x="0" y="0"/>
                      <a:ext cx="5334000" cy="2667000"/>
                    </a:xfrm>
                    <a:prstGeom prst="rect">
                      <a:avLst/>
                    </a:prstGeom>
                    <a:noFill/>
                    <a:ln w="9525">
                      <a:noFill/>
                      <a:headEnd/>
                      <a:tailEnd/>
                    </a:ln>
                  </pic:spPr>
                </pic:pic>
              </a:graphicData>
            </a:graphic>
          </wp:inline>
        </w:drawing>
      </w:r>
    </w:p>
    <w:bookmarkEnd w:id="79"/>
    <w:bookmarkStart w:id="83" w:name="X9f0dd96eadad89e8a50793fc4b191c5f1b6409e"/>
    <w:p>
      <w:pPr>
        <w:pStyle w:val="Heading1"/>
      </w:pPr>
      <w:r>
        <w:t xml:space="preserve">Appendix F3: Race Ratios — Single-Household Clans</w:t>
      </w:r>
    </w:p>
    <w:p>
      <w:pPr>
        <w:pStyle w:val="FirstParagraph"/>
      </w:pPr>
      <w:r>
        <w:drawing>
          <wp:inline>
            <wp:extent cx="5334000" cy="4191000"/>
            <wp:effectExtent b="0" l="0" r="0" t="0"/>
            <wp:docPr descr="" title="" id="81" name="Picture"/>
            <a:graphic>
              <a:graphicData uri="http://schemas.openxmlformats.org/drawingml/2006/picture">
                <pic:pic>
                  <pic:nvPicPr>
                    <pic:cNvPr descr="/Users/amanda/Desktop/clan_project/10_draft/output/write_files/figure-docx/appendix-f3-1.png" id="82" name="Picture"/>
                    <pic:cNvPicPr>
                      <a:picLocks noChangeArrowheads="1" noChangeAspect="1"/>
                    </pic:cNvPicPr>
                  </pic:nvPicPr>
                  <pic:blipFill>
                    <a:blip r:embed="rId80"/>
                    <a:stretch>
                      <a:fillRect/>
                    </a:stretch>
                  </pic:blipFill>
                  <pic:spPr bwMode="auto">
                    <a:xfrm>
                      <a:off x="0" y="0"/>
                      <a:ext cx="5334000" cy="4191000"/>
                    </a:xfrm>
                    <a:prstGeom prst="rect">
                      <a:avLst/>
                    </a:prstGeom>
                    <a:noFill/>
                    <a:ln w="9525">
                      <a:noFill/>
                      <a:headEnd/>
                      <a:tailEnd/>
                    </a:ln>
                  </pic:spPr>
                </pic:pic>
              </a:graphicData>
            </a:graphic>
          </wp:inline>
        </w:drawing>
      </w:r>
    </w:p>
    <w:bookmarkEnd w:id="83"/>
    <w:bookmarkStart w:id="154" w:name="appendix-f4-race-ratios-weighting"/>
    <w:p>
      <w:pPr>
        <w:pStyle w:val="Heading1"/>
      </w:pPr>
      <w:r>
        <w:t xml:space="preserve">Appendix F4: Race Ratios — Weighting</w:t>
      </w:r>
    </w:p>
    <w:p>
      <w:pPr>
        <w:pStyle w:val="FirstParagraph"/>
      </w:pPr>
      <w:r>
        <w:drawing>
          <wp:inline>
            <wp:extent cx="5334000" cy="4191000"/>
            <wp:effectExtent b="0" l="0" r="0" t="0"/>
            <wp:docPr descr="" title="" id="85" name="Picture"/>
            <a:graphic>
              <a:graphicData uri="http://schemas.openxmlformats.org/drawingml/2006/picture">
                <pic:pic>
                  <pic:nvPicPr>
                    <pic:cNvPr descr="/Users/amanda/Desktop/clan_project/10_draft/output/write_files/figure-docx/appendix-f4-1.png" id="86" name="Picture"/>
                    <pic:cNvPicPr>
                      <a:picLocks noChangeArrowheads="1" noChangeAspect="1"/>
                    </pic:cNvPicPr>
                  </pic:nvPicPr>
                  <pic:blipFill>
                    <a:blip r:embed="rId84"/>
                    <a:stretch>
                      <a:fillRect/>
                    </a:stretch>
                  </pic:blipFill>
                  <pic:spPr bwMode="auto">
                    <a:xfrm>
                      <a:off x="0" y="0"/>
                      <a:ext cx="5334000" cy="4191000"/>
                    </a:xfrm>
                    <a:prstGeom prst="rect">
                      <a:avLst/>
                    </a:prstGeom>
                    <a:noFill/>
                    <a:ln w="9525">
                      <a:noFill/>
                      <a:headEnd/>
                      <a:tailEnd/>
                    </a:ln>
                  </pic:spPr>
                </pic:pic>
              </a:graphicData>
            </a:graphic>
          </wp:inline>
        </w:drawing>
      </w:r>
    </w:p>
    <w:bookmarkStart w:id="153" w:name="refs"/>
    <w:bookmarkStart w:id="88"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87">
        <w:r>
          <w:rPr>
            <w:rStyle w:val="Hyperlink"/>
          </w:rPr>
          <w:t xml:space="preserve">https://fred.stlouisfed.org/series/SIPOVGINIUSA</w:t>
        </w:r>
      </w:hyperlink>
    </w:p>
    <w:bookmarkEnd w:id="88"/>
    <w:bookmarkStart w:id="90"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89">
        <w:r>
          <w:rPr>
            <w:rStyle w:val="Hyperlink"/>
          </w:rPr>
          <w:t xml:space="preserve">https://www.bakerinstitute.org/research/decline-us-wealth-and-income-inequality</w:t>
        </w:r>
      </w:hyperlink>
    </w:p>
    <w:bookmarkEnd w:id="90"/>
    <w:bookmarkStart w:id="93"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91">
        <w:r>
          <w:rPr>
            <w:rStyle w:val="Hyperlink"/>
          </w:rPr>
          <w:t xml:space="preserve">https://www.nber.org/papers/w33823</w:t>
        </w:r>
      </w:hyperlink>
      <w:r>
        <w:t xml:space="preserve">. doi:</w:t>
      </w:r>
      <w:hyperlink r:id="rId92">
        <w:r>
          <w:rPr>
            <w:rStyle w:val="Hyperlink"/>
          </w:rPr>
          <w:t xml:space="preserve">10.3386/w33823</w:t>
        </w:r>
      </w:hyperlink>
    </w:p>
    <w:bookmarkEnd w:id="93"/>
    <w:bookmarkStart w:id="96"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94">
        <w:r>
          <w:rPr>
            <w:rStyle w:val="Hyperlink"/>
          </w:rPr>
          <w:t xml:space="preserve">https://www.journals.uchicago.edu/doi/10.1086/728741</w:t>
        </w:r>
      </w:hyperlink>
      <w:r>
        <w:t xml:space="preserve">. doi:</w:t>
      </w:r>
      <w:hyperlink r:id="rId95">
        <w:r>
          <w:rPr>
            <w:rStyle w:val="Hyperlink"/>
          </w:rPr>
          <w:t xml:space="preserve">10.1086/728741</w:t>
        </w:r>
      </w:hyperlink>
    </w:p>
    <w:bookmarkEnd w:id="96"/>
    <w:bookmarkStart w:id="99"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97">
        <w:r>
          <w:rPr>
            <w:rStyle w:val="Hyperlink"/>
          </w:rPr>
          <w:t xml:space="preserve">https://www.annualreviews.org/doi/10.1146/annurev-soc-060116-053331</w:t>
        </w:r>
      </w:hyperlink>
      <w:r>
        <w:t xml:space="preserve">. doi:</w:t>
      </w:r>
      <w:hyperlink r:id="rId98">
        <w:r>
          <w:rPr>
            <w:rStyle w:val="Hyperlink"/>
          </w:rPr>
          <w:t xml:space="preserve">10.1146/annurev-soc-060116-053331</w:t>
        </w:r>
      </w:hyperlink>
    </w:p>
    <w:bookmarkEnd w:id="99"/>
    <w:bookmarkStart w:id="101"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100">
        <w:r>
          <w:rPr>
            <w:rStyle w:val="Hyperlink"/>
          </w:rPr>
          <w:t xml:space="preserve">https://doi.org/10.1093/qje/qjw004</w:t>
        </w:r>
      </w:hyperlink>
      <w:r>
        <w:t xml:space="preserve">. doi:</w:t>
      </w:r>
      <w:hyperlink r:id="rId100">
        <w:r>
          <w:rPr>
            <w:rStyle w:val="Hyperlink"/>
          </w:rPr>
          <w:t xml:space="preserve">10.1093/qje/qjw004</w:t>
        </w:r>
      </w:hyperlink>
    </w:p>
    <w:bookmarkEnd w:id="101"/>
    <w:bookmarkStart w:id="102"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102"/>
    <w:bookmarkStart w:id="104"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103">
        <w:r>
          <w:rPr>
            <w:rStyle w:val="Hyperlink"/>
          </w:rPr>
          <w:t xml:space="preserve">10.1037/11282-004</w:t>
        </w:r>
      </w:hyperlink>
    </w:p>
    <w:bookmarkEnd w:id="104"/>
    <w:bookmarkStart w:id="106"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105">
        <w:r>
          <w:rPr>
            <w:rStyle w:val="Hyperlink"/>
          </w:rPr>
          <w:t xml:space="preserve">https://doi.org/10.1007/s13524-018-0719-y</w:t>
        </w:r>
      </w:hyperlink>
      <w:r>
        <w:t xml:space="preserve">. doi:</w:t>
      </w:r>
      <w:hyperlink r:id="rId105">
        <w:r>
          <w:rPr>
            <w:rStyle w:val="Hyperlink"/>
          </w:rPr>
          <w:t xml:space="preserve">10.1007/s13524-018-0719-y</w:t>
        </w:r>
      </w:hyperlink>
    </w:p>
    <w:bookmarkEnd w:id="106"/>
    <w:bookmarkStart w:id="108"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107">
        <w:r>
          <w:rPr>
            <w:rStyle w:val="Hyperlink"/>
          </w:rPr>
          <w:t xml:space="preserve">https://doi.org/10.1007/s13524-011-0014-7</w:t>
        </w:r>
      </w:hyperlink>
      <w:r>
        <w:t xml:space="preserve">. doi:</w:t>
      </w:r>
      <w:hyperlink r:id="rId107">
        <w:r>
          <w:rPr>
            <w:rStyle w:val="Hyperlink"/>
          </w:rPr>
          <w:t xml:space="preserve">10.1007/s13524-011-0014-7</w:t>
        </w:r>
      </w:hyperlink>
    </w:p>
    <w:bookmarkEnd w:id="108"/>
    <w:bookmarkStart w:id="110"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109">
        <w:r>
          <w:rPr>
            <w:rStyle w:val="Hyperlink"/>
          </w:rPr>
          <w:t xml:space="preserve">https://doi.org/10.1093/ser/mwad033</w:t>
        </w:r>
      </w:hyperlink>
      <w:r>
        <w:t xml:space="preserve">. doi:</w:t>
      </w:r>
      <w:hyperlink r:id="rId109">
        <w:r>
          <w:rPr>
            <w:rStyle w:val="Hyperlink"/>
          </w:rPr>
          <w:t xml:space="preserve">10.1093/ser/mwad033</w:t>
        </w:r>
      </w:hyperlink>
    </w:p>
    <w:bookmarkEnd w:id="110"/>
    <w:bookmarkStart w:id="112"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111">
        <w:r>
          <w:rPr>
            <w:rStyle w:val="Hyperlink"/>
          </w:rPr>
          <w:t xml:space="preserve">https://doi.org/10.1177/00031224251319001</w:t>
        </w:r>
      </w:hyperlink>
      <w:r>
        <w:t xml:space="preserve">. doi:</w:t>
      </w:r>
      <w:hyperlink r:id="rId111">
        <w:r>
          <w:rPr>
            <w:rStyle w:val="Hyperlink"/>
          </w:rPr>
          <w:t xml:space="preserve">10.1177/00031224251319001</w:t>
        </w:r>
      </w:hyperlink>
    </w:p>
    <w:bookmarkEnd w:id="112"/>
    <w:bookmarkStart w:id="115" w:name="ref-adermon_dynastic_2021"/>
    <w:p>
      <w:pPr>
        <w:pStyle w:val="Bibliography"/>
      </w:pPr>
      <w:r>
        <w:t xml:space="preserve">[13]</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113">
        <w:r>
          <w:rPr>
            <w:rStyle w:val="Hyperlink"/>
          </w:rPr>
          <w:t xml:space="preserve">https://pubs.aeaweb.org/doi/10.1257/aer.20190553</w:t>
        </w:r>
      </w:hyperlink>
      <w:r>
        <w:t xml:space="preserve">. doi:</w:t>
      </w:r>
      <w:hyperlink r:id="rId114">
        <w:r>
          <w:rPr>
            <w:rStyle w:val="Hyperlink"/>
          </w:rPr>
          <w:t xml:space="preserve">10.1257/aer.20190553</w:t>
        </w:r>
      </w:hyperlink>
    </w:p>
    <w:bookmarkEnd w:id="115"/>
    <w:bookmarkStart w:id="118" w:name="ref-hallsten_shadow_2023"/>
    <w:p>
      <w:pPr>
        <w:pStyle w:val="Bibliography"/>
      </w:pPr>
      <w:r>
        <w:t xml:space="preserve">[14]</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116">
        <w:r>
          <w:rPr>
            <w:rStyle w:val="Hyperlink"/>
          </w:rPr>
          <w:t xml:space="preserve">https://www-journals-uchicago-edu.turing.library.northwestern.edu/doi/full/10.1086/724835</w:t>
        </w:r>
      </w:hyperlink>
      <w:r>
        <w:t xml:space="preserve">. doi:</w:t>
      </w:r>
      <w:hyperlink r:id="rId117">
        <w:r>
          <w:rPr>
            <w:rStyle w:val="Hyperlink"/>
          </w:rPr>
          <w:t xml:space="preserve">https://doi.org/10.1086/724835</w:t>
        </w:r>
      </w:hyperlink>
    </w:p>
    <w:bookmarkEnd w:id="118"/>
    <w:bookmarkStart w:id="120" w:name="ref-song_shared_2019"/>
    <w:p>
      <w:pPr>
        <w:pStyle w:val="Bibliography"/>
      </w:pPr>
      <w:r>
        <w:t xml:space="preserve">[15]</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119">
        <w:r>
          <w:rPr>
            <w:rStyle w:val="Hyperlink"/>
          </w:rPr>
          <w:t xml:space="preserve">10.1007/s13524-019-00772-8</w:t>
        </w:r>
      </w:hyperlink>
    </w:p>
    <w:bookmarkEnd w:id="120"/>
    <w:bookmarkStart w:id="121" w:name="ref-shiffer-sebba_concentration_2022"/>
    <w:p>
      <w:pPr>
        <w:pStyle w:val="Bibliography"/>
      </w:pPr>
      <w:r>
        <w:t xml:space="preserve">[16]</w:t>
      </w:r>
      <w:r>
        <w:t xml:space="preserve"> </w:t>
      </w:r>
      <w:r>
        <w:t xml:space="preserve">	</w:t>
      </w:r>
      <w:r>
        <w:t xml:space="preserve">Shiffer-Sebba D, Gabay-Egozi L. The</w:t>
      </w:r>
      <w:r>
        <w:t xml:space="preserve"> </w:t>
      </w:r>
      <w:r>
        <w:t xml:space="preserve">Concentration</w:t>
      </w:r>
      <w:r>
        <w:t xml:space="preserve"> </w:t>
      </w:r>
      <w:r>
        <w:t xml:space="preserve">of</w:t>
      </w:r>
      <w:r>
        <w:t xml:space="preserve"> </w:t>
      </w:r>
      <w:r>
        <w:t xml:space="preserve">Wealth</w:t>
      </w:r>
      <w:r>
        <w:t xml:space="preserve"> </w:t>
      </w:r>
      <w:r>
        <w:t xml:space="preserve">Within</w:t>
      </w:r>
      <w:r>
        <w:t xml:space="preserve"> </w:t>
      </w:r>
      <w:r>
        <w:t xml:space="preserve">Family</w:t>
      </w:r>
      <w:r>
        <w:t xml:space="preserve"> </w:t>
      </w:r>
      <w:r>
        <w:t xml:space="preserve">Lineages</w:t>
      </w:r>
      <w:r>
        <w:t xml:space="preserve">:</w:t>
      </w:r>
      <w:r>
        <w:t xml:space="preserve"> </w:t>
      </w:r>
      <w:r>
        <w:t xml:space="preserve">Clans</w:t>
      </w:r>
      <w:r>
        <w:t xml:space="preserve"> </w:t>
      </w:r>
      <w:r>
        <w:t xml:space="preserve">as</w:t>
      </w:r>
      <w:r>
        <w:t xml:space="preserve"> </w:t>
      </w:r>
      <w:r>
        <w:t xml:space="preserve">Units</w:t>
      </w:r>
      <w:r>
        <w:t xml:space="preserve"> </w:t>
      </w:r>
      <w:r>
        <w:t xml:space="preserve">of</w:t>
      </w:r>
      <w:r>
        <w:t xml:space="preserve"> </w:t>
      </w:r>
      <w:r>
        <w:t xml:space="preserve">Analysis</w:t>
      </w:r>
      <w:r>
        <w:t xml:space="preserve">. 2022.</w:t>
      </w:r>
    </w:p>
    <w:bookmarkEnd w:id="121"/>
    <w:bookmarkStart w:id="123" w:name="ref-hallsten_grand_2017"/>
    <w:p>
      <w:pPr>
        <w:pStyle w:val="Bibliography"/>
      </w:pPr>
      <w:r>
        <w:t xml:space="preserve">[17]</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122">
        <w:r>
          <w:rPr>
            <w:rStyle w:val="Hyperlink"/>
          </w:rPr>
          <w:t xml:space="preserve">10.1177/0003122417695791</w:t>
        </w:r>
      </w:hyperlink>
    </w:p>
    <w:bookmarkEnd w:id="123"/>
    <w:bookmarkStart w:id="124" w:name="ref-insolera_overview_2021"/>
    <w:p>
      <w:pPr>
        <w:pStyle w:val="Bibliography"/>
      </w:pPr>
      <w:r>
        <w:t xml:space="preserve">[18]</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24"/>
    <w:bookmarkStart w:id="126" w:name="ref-pfeffer_measuring_2016"/>
    <w:p>
      <w:pPr>
        <w:pStyle w:val="Bibliography"/>
      </w:pPr>
      <w:r>
        <w:t xml:space="preserve">[19]</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125">
        <w:r>
          <w:rPr>
            <w:rStyle w:val="Hyperlink"/>
          </w:rPr>
          <w:t xml:space="preserve">10.3233/JEM-160421</w:t>
        </w:r>
      </w:hyperlink>
    </w:p>
    <w:bookmarkEnd w:id="126"/>
    <w:bookmarkStart w:id="127" w:name="ref-pfeffer_determinants_2017"/>
    <w:p>
      <w:pPr>
        <w:pStyle w:val="Bibliography"/>
      </w:pPr>
      <w:r>
        <w:t xml:space="preserve">[20]</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27"/>
    <w:bookmarkStart w:id="130" w:name="ref-corak_income_2013"/>
    <w:p>
      <w:pPr>
        <w:pStyle w:val="Bibliography"/>
      </w:pPr>
      <w:r>
        <w:t xml:space="preserve">[21]</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128">
        <w:r>
          <w:rPr>
            <w:rStyle w:val="Hyperlink"/>
          </w:rPr>
          <w:t xml:space="preserve">https://www.aeaweb.org/articles?id=10.1257/jep.27.3.79</w:t>
        </w:r>
      </w:hyperlink>
      <w:r>
        <w:t xml:space="preserve">. doi:</w:t>
      </w:r>
      <w:hyperlink r:id="rId129">
        <w:r>
          <w:rPr>
            <w:rStyle w:val="Hyperlink"/>
          </w:rPr>
          <w:t xml:space="preserve">10.1257/jep.27.3.79</w:t>
        </w:r>
      </w:hyperlink>
    </w:p>
    <w:bookmarkEnd w:id="130"/>
    <w:bookmarkStart w:id="132" w:name="ref-ermisch_parents_2012"/>
    <w:p>
      <w:pPr>
        <w:pStyle w:val="Bibliography"/>
      </w:pPr>
      <w:r>
        <w:t xml:space="preserve">[22]</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131">
        <w:r>
          <w:rPr>
            <w:rStyle w:val="Hyperlink"/>
          </w:rPr>
          <w:t xml:space="preserve">https://www.jstor.org/stable/10.7758/9781610447805</w:t>
        </w:r>
      </w:hyperlink>
    </w:p>
    <w:bookmarkEnd w:id="132"/>
    <w:bookmarkStart w:id="134" w:name="ref-jerrim_income_2015"/>
    <w:p>
      <w:pPr>
        <w:pStyle w:val="Bibliography"/>
      </w:pPr>
      <w:r>
        <w:t xml:space="preserve">[23]</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133">
        <w:r>
          <w:rPr>
            <w:rStyle w:val="Hyperlink"/>
          </w:rPr>
          <w:t xml:space="preserve">10.1093/sf/sov075</w:t>
        </w:r>
      </w:hyperlink>
    </w:p>
    <w:bookmarkEnd w:id="134"/>
    <w:bookmarkStart w:id="137" w:name="ref-si_multiple_2021"/>
    <w:p>
      <w:pPr>
        <w:pStyle w:val="Bibliography"/>
      </w:pPr>
      <w:r>
        <w:t xml:space="preserve">[24]</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35">
        <w:r>
          <w:rPr>
            <w:rStyle w:val="Hyperlink"/>
          </w:rPr>
          <w:t xml:space="preserve">https://www.ncbi.nlm.nih.gov/pmc/articles/PMC9874997/</w:t>
        </w:r>
      </w:hyperlink>
      <w:r>
        <w:t xml:space="preserve">. doi:</w:t>
      </w:r>
      <w:hyperlink r:id="rId136">
        <w:r>
          <w:rPr>
            <w:rStyle w:val="Hyperlink"/>
          </w:rPr>
          <w:t xml:space="preserve">10.1093/jssam/smab038</w:t>
        </w:r>
      </w:hyperlink>
    </w:p>
    <w:bookmarkEnd w:id="137"/>
    <w:bookmarkStart w:id="138" w:name="ref-sayer_women_2004"/>
    <w:p>
      <w:pPr>
        <w:pStyle w:val="Bibliography"/>
      </w:pPr>
      <w:r>
        <w:t xml:space="preserve">[25]</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38"/>
    <w:bookmarkStart w:id="141" w:name="ref-de_maio_income_2007"/>
    <w:p>
      <w:pPr>
        <w:pStyle w:val="Bibliography"/>
      </w:pPr>
      <w:r>
        <w:t xml:space="preserve">[26]</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39">
        <w:r>
          <w:rPr>
            <w:rStyle w:val="Hyperlink"/>
          </w:rPr>
          <w:t xml:space="preserve">https://www.ncbi.nlm.nih.gov/pmc/articles/PMC2652960/</w:t>
        </w:r>
      </w:hyperlink>
      <w:r>
        <w:t xml:space="preserve">. doi:</w:t>
      </w:r>
      <w:hyperlink r:id="rId140">
        <w:r>
          <w:rPr>
            <w:rStyle w:val="Hyperlink"/>
          </w:rPr>
          <w:t xml:space="preserve">10.1136/jech.2006.052969</w:t>
        </w:r>
      </w:hyperlink>
    </w:p>
    <w:bookmarkEnd w:id="141"/>
    <w:bookmarkStart w:id="144" w:name="ref-kawachi_relationship_1997"/>
    <w:p>
      <w:pPr>
        <w:pStyle w:val="Bibliography"/>
      </w:pPr>
      <w:r>
        <w:t xml:space="preserve">[27]</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42">
        <w:r>
          <w:rPr>
            <w:rStyle w:val="Hyperlink"/>
          </w:rPr>
          <w:t xml:space="preserve">https://www.sciencedirect.com/science/article/pii/S0277953697000440</w:t>
        </w:r>
      </w:hyperlink>
      <w:r>
        <w:t xml:space="preserve">. doi:</w:t>
      </w:r>
      <w:hyperlink r:id="rId143">
        <w:r>
          <w:rPr>
            <w:rStyle w:val="Hyperlink"/>
          </w:rPr>
          <w:t xml:space="preserve">10.1016/S0277-9536(97)00044-0</w:t>
        </w:r>
      </w:hyperlink>
    </w:p>
    <w:bookmarkEnd w:id="144"/>
    <w:bookmarkStart w:id="147" w:name="ref-aaberge_ginis_2007"/>
    <w:p>
      <w:pPr>
        <w:pStyle w:val="Bibliography"/>
      </w:pPr>
      <w:r>
        <w:t xml:space="preserve">[28]</w:t>
      </w:r>
      <w:r>
        <w:t xml:space="preserve"> </w:t>
      </w:r>
      <w:r>
        <w:t xml:space="preserve">	</w:t>
      </w:r>
      <w:r>
        <w:t xml:space="preserve">Aaberge R. Gini’s nuclear family. Journal of Economic Inequality. 2007 [accessed 2025 Dec 16];5(3):305–322.</w:t>
      </w:r>
      <w:r>
        <w:t xml:space="preserve"> </w:t>
      </w:r>
      <w:hyperlink r:id="rId145">
        <w:r>
          <w:rPr>
            <w:rStyle w:val="Hyperlink"/>
          </w:rPr>
          <w:t xml:space="preserve">https://research.ebsco.com/linkprocessor/plink?id=183a0f60-6b65-3238-9faf-59d099fff528</w:t>
        </w:r>
      </w:hyperlink>
      <w:r>
        <w:t xml:space="preserve">. doi:</w:t>
      </w:r>
      <w:hyperlink r:id="rId146">
        <w:r>
          <w:rPr>
            <w:rStyle w:val="Hyperlink"/>
          </w:rPr>
          <w:t xml:space="preserve">10.1007/s10888-006-9050-8</w:t>
        </w:r>
      </w:hyperlink>
    </w:p>
    <w:bookmarkEnd w:id="147"/>
    <w:bookmarkStart w:id="149" w:name="ref-noauthor_table_nodate"/>
    <w:p>
      <w:pPr>
        <w:pStyle w:val="Bibliography"/>
      </w:pPr>
      <w:r>
        <w:t xml:space="preserve">[29]</w:t>
      </w:r>
      <w:r>
        <w:t xml:space="preserve"> </w:t>
      </w:r>
      <w:r>
        <w:t xml:space="preserve">	</w:t>
      </w:r>
      <w:r>
        <w:t xml:space="preserve">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w:t>
      </w:r>
      <w:r>
        <w:t xml:space="preserve"> </w:t>
      </w:r>
      <w:hyperlink r:id="rId148">
        <w:r>
          <w:rPr>
            <w:rStyle w:val="Hyperlink"/>
          </w:rPr>
          <w:t xml:space="preserve">https://www.census.gov/data/tables/time-series/demo/income-poverty/historical-income-inequality.html</w:t>
        </w:r>
      </w:hyperlink>
    </w:p>
    <w:bookmarkEnd w:id="149"/>
    <w:bookmarkStart w:id="150" w:name="ref-wolff_size_209"/>
    <w:p>
      <w:pPr>
        <w:pStyle w:val="Bibliography"/>
      </w:pPr>
      <w:r>
        <w:t xml:space="preserve">[30]</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50"/>
    <w:bookmarkStart w:id="152" w:name="ref-pfeffer_wealth_2013"/>
    <w:p>
      <w:pPr>
        <w:pStyle w:val="Bibliography"/>
      </w:pPr>
      <w:r>
        <w:t xml:space="preserve">[31]</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51">
        <w:r>
          <w:rPr>
            <w:rStyle w:val="Hyperlink"/>
          </w:rPr>
          <w:t xml:space="preserve">10.1177/0002716213497452</w:t>
        </w:r>
      </w:hyperlink>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2" Target="media/rId22.pdf"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46" Target="https://doi.org/10.1007/s10888-006-9050-8" TargetMode="External" /><Relationship Type="http://schemas.openxmlformats.org/officeDocument/2006/relationships/hyperlink" Id="rId107" Target="https://doi.org/10.1007/s13524-011-0014-7" TargetMode="External" /><Relationship Type="http://schemas.openxmlformats.org/officeDocument/2006/relationships/hyperlink" Id="rId105" Target="https://doi.org/10.1007/s13524-018-0719-y" TargetMode="External" /><Relationship Type="http://schemas.openxmlformats.org/officeDocument/2006/relationships/hyperlink" Id="rId119" Target="https://doi.org/10.1007/s13524-019-00772-8" TargetMode="External" /><Relationship Type="http://schemas.openxmlformats.org/officeDocument/2006/relationships/hyperlink" Id="rId143" Target="https://doi.org/10.1016/S0277-9536(97)00044-0" TargetMode="External" /><Relationship Type="http://schemas.openxmlformats.org/officeDocument/2006/relationships/hyperlink" Id="rId103" Target="https://doi.org/10.1037/11282-004" TargetMode="External" /><Relationship Type="http://schemas.openxmlformats.org/officeDocument/2006/relationships/hyperlink" Id="rId117" Target="https://doi.org/10.1086/724835" TargetMode="External" /><Relationship Type="http://schemas.openxmlformats.org/officeDocument/2006/relationships/hyperlink" Id="rId95" Target="https://doi.org/10.1086/728741" TargetMode="External" /><Relationship Type="http://schemas.openxmlformats.org/officeDocument/2006/relationships/hyperlink" Id="rId136" Target="https://doi.org/10.1093/jssam/smab038" TargetMode="External" /><Relationship Type="http://schemas.openxmlformats.org/officeDocument/2006/relationships/hyperlink" Id="rId100" Target="https://doi.org/10.1093/qje/qjw004" TargetMode="External" /><Relationship Type="http://schemas.openxmlformats.org/officeDocument/2006/relationships/hyperlink" Id="rId109" Target="https://doi.org/10.1093/ser/mwad033" TargetMode="External" /><Relationship Type="http://schemas.openxmlformats.org/officeDocument/2006/relationships/hyperlink" Id="rId133" Target="https://doi.org/10.1093/sf/sov075" TargetMode="External" /><Relationship Type="http://schemas.openxmlformats.org/officeDocument/2006/relationships/hyperlink" Id="rId140" Target="https://doi.org/10.1136/jech.2006.052969" TargetMode="External" /><Relationship Type="http://schemas.openxmlformats.org/officeDocument/2006/relationships/hyperlink" Id="rId98" Target="https://doi.org/10.1146/annurev-soc-060116-053331" TargetMode="External" /><Relationship Type="http://schemas.openxmlformats.org/officeDocument/2006/relationships/hyperlink" Id="rId151" Target="https://doi.org/10.1177/0002716213497452" TargetMode="External" /><Relationship Type="http://schemas.openxmlformats.org/officeDocument/2006/relationships/hyperlink" Id="rId122" Target="https://doi.org/10.1177/0003122417695791" TargetMode="External" /><Relationship Type="http://schemas.openxmlformats.org/officeDocument/2006/relationships/hyperlink" Id="rId111" Target="https://doi.org/10.1177/00031224251319001" TargetMode="External" /><Relationship Type="http://schemas.openxmlformats.org/officeDocument/2006/relationships/hyperlink" Id="rId114" Target="https://doi.org/10.1257/aer.20190553" TargetMode="External" /><Relationship Type="http://schemas.openxmlformats.org/officeDocument/2006/relationships/hyperlink" Id="rId129" Target="https://doi.org/10.1257/jep.27.3.79" TargetMode="External" /><Relationship Type="http://schemas.openxmlformats.org/officeDocument/2006/relationships/hyperlink" Id="rId125" Target="https://doi.org/10.3233/JEM-160421" TargetMode="External" /><Relationship Type="http://schemas.openxmlformats.org/officeDocument/2006/relationships/hyperlink" Id="rId92" Target="https://doi.org/10.3386/w33823" TargetMode="External" /><Relationship Type="http://schemas.openxmlformats.org/officeDocument/2006/relationships/hyperlink" Id="rId87" Target="https://fred.stlouisfed.org/series/SIPOVGINIUSA" TargetMode="External" /><Relationship Type="http://schemas.openxmlformats.org/officeDocument/2006/relationships/hyperlink" Id="rId113" Target="https://pubs.aeaweb.org/doi/10.1257/aer.20190553" TargetMode="External" /><Relationship Type="http://schemas.openxmlformats.org/officeDocument/2006/relationships/hyperlink" Id="rId145" Target="https://research.ebsco.com/linkprocessor/plink?id=183a0f60-6b65-3238-9faf-59d099fff528" TargetMode="External" /><Relationship Type="http://schemas.openxmlformats.org/officeDocument/2006/relationships/hyperlink" Id="rId116" Target="https://www-journals-uchicago-edu.turing.library.northwestern.edu/doi/full/10.1086/724835" TargetMode="External" /><Relationship Type="http://schemas.openxmlformats.org/officeDocument/2006/relationships/hyperlink" Id="rId128" Target="https://www.aeaweb.org/articles?id=10.1257/jep.27.3.79" TargetMode="External" /><Relationship Type="http://schemas.openxmlformats.org/officeDocument/2006/relationships/hyperlink" Id="rId97" Target="https://www.annualreviews.org/doi/10.1146/annurev-soc-060116-053331" TargetMode="External" /><Relationship Type="http://schemas.openxmlformats.org/officeDocument/2006/relationships/hyperlink" Id="rId89" Target="https://www.bakerinstitute.org/research/decline-us-wealth-and-income-inequality" TargetMode="External" /><Relationship Type="http://schemas.openxmlformats.org/officeDocument/2006/relationships/hyperlink" Id="rId148" Target="https://www.census.gov/data/tables/time-series/demo/income-poverty/historical-income-inequality.html" TargetMode="External" /><Relationship Type="http://schemas.openxmlformats.org/officeDocument/2006/relationships/hyperlink" Id="rId94" Target="https://www.journals.uchicago.edu/doi/10.1086/728741" TargetMode="External" /><Relationship Type="http://schemas.openxmlformats.org/officeDocument/2006/relationships/hyperlink" Id="rId131" Target="https://www.jstor.org/stable/10.7758/9781610447805" TargetMode="External" /><Relationship Type="http://schemas.openxmlformats.org/officeDocument/2006/relationships/hyperlink" Id="rId91" Target="https://www.nber.org/papers/w33823" TargetMode="External" /><Relationship Type="http://schemas.openxmlformats.org/officeDocument/2006/relationships/hyperlink" Id="rId139" Target="https://www.ncbi.nlm.nih.gov/pmc/articles/PMC2652960/" TargetMode="External" /><Relationship Type="http://schemas.openxmlformats.org/officeDocument/2006/relationships/hyperlink" Id="rId135" Target="https://www.ncbi.nlm.nih.gov/pmc/articles/PMC9874997/" TargetMode="External" /><Relationship Type="http://schemas.openxmlformats.org/officeDocument/2006/relationships/hyperlink" Id="rId142" Target="https://www.sciencedirect.com/science/article/pii/S0277953697000440" TargetMode="External" /></Relationships>
</file>

<file path=word/_rels/footnotes.xml.rels><?xml version="1.0" encoding="UTF-8"?><Relationships xmlns="http://schemas.openxmlformats.org/package/2006/relationships"><Relationship Type="http://schemas.openxmlformats.org/officeDocument/2006/relationships/hyperlink" Id="rId146" Target="https://doi.org/10.1007/s10888-006-9050-8" TargetMode="External" /><Relationship Type="http://schemas.openxmlformats.org/officeDocument/2006/relationships/hyperlink" Id="rId107" Target="https://doi.org/10.1007/s13524-011-0014-7" TargetMode="External" /><Relationship Type="http://schemas.openxmlformats.org/officeDocument/2006/relationships/hyperlink" Id="rId105" Target="https://doi.org/10.1007/s13524-018-0719-y" TargetMode="External" /><Relationship Type="http://schemas.openxmlformats.org/officeDocument/2006/relationships/hyperlink" Id="rId119" Target="https://doi.org/10.1007/s13524-019-00772-8" TargetMode="External" /><Relationship Type="http://schemas.openxmlformats.org/officeDocument/2006/relationships/hyperlink" Id="rId143" Target="https://doi.org/10.1016/S0277-9536(97)00044-0" TargetMode="External" /><Relationship Type="http://schemas.openxmlformats.org/officeDocument/2006/relationships/hyperlink" Id="rId103" Target="https://doi.org/10.1037/11282-004" TargetMode="External" /><Relationship Type="http://schemas.openxmlformats.org/officeDocument/2006/relationships/hyperlink" Id="rId117" Target="https://doi.org/10.1086/724835" TargetMode="External" /><Relationship Type="http://schemas.openxmlformats.org/officeDocument/2006/relationships/hyperlink" Id="rId95" Target="https://doi.org/10.1086/728741" TargetMode="External" /><Relationship Type="http://schemas.openxmlformats.org/officeDocument/2006/relationships/hyperlink" Id="rId136" Target="https://doi.org/10.1093/jssam/smab038" TargetMode="External" /><Relationship Type="http://schemas.openxmlformats.org/officeDocument/2006/relationships/hyperlink" Id="rId100" Target="https://doi.org/10.1093/qje/qjw004" TargetMode="External" /><Relationship Type="http://schemas.openxmlformats.org/officeDocument/2006/relationships/hyperlink" Id="rId109" Target="https://doi.org/10.1093/ser/mwad033" TargetMode="External" /><Relationship Type="http://schemas.openxmlformats.org/officeDocument/2006/relationships/hyperlink" Id="rId133" Target="https://doi.org/10.1093/sf/sov075" TargetMode="External" /><Relationship Type="http://schemas.openxmlformats.org/officeDocument/2006/relationships/hyperlink" Id="rId140" Target="https://doi.org/10.1136/jech.2006.052969" TargetMode="External" /><Relationship Type="http://schemas.openxmlformats.org/officeDocument/2006/relationships/hyperlink" Id="rId98" Target="https://doi.org/10.1146/annurev-soc-060116-053331" TargetMode="External" /><Relationship Type="http://schemas.openxmlformats.org/officeDocument/2006/relationships/hyperlink" Id="rId151" Target="https://doi.org/10.1177/0002716213497452" TargetMode="External" /><Relationship Type="http://schemas.openxmlformats.org/officeDocument/2006/relationships/hyperlink" Id="rId122" Target="https://doi.org/10.1177/0003122417695791" TargetMode="External" /><Relationship Type="http://schemas.openxmlformats.org/officeDocument/2006/relationships/hyperlink" Id="rId111" Target="https://doi.org/10.1177/00031224251319001" TargetMode="External" /><Relationship Type="http://schemas.openxmlformats.org/officeDocument/2006/relationships/hyperlink" Id="rId114" Target="https://doi.org/10.1257/aer.20190553" TargetMode="External" /><Relationship Type="http://schemas.openxmlformats.org/officeDocument/2006/relationships/hyperlink" Id="rId129" Target="https://doi.org/10.1257/jep.27.3.79" TargetMode="External" /><Relationship Type="http://schemas.openxmlformats.org/officeDocument/2006/relationships/hyperlink" Id="rId125" Target="https://doi.org/10.3233/JEM-160421" TargetMode="External" /><Relationship Type="http://schemas.openxmlformats.org/officeDocument/2006/relationships/hyperlink" Id="rId92" Target="https://doi.org/10.3386/w33823" TargetMode="External" /><Relationship Type="http://schemas.openxmlformats.org/officeDocument/2006/relationships/hyperlink" Id="rId87" Target="https://fred.stlouisfed.org/series/SIPOVGINIUSA" TargetMode="External" /><Relationship Type="http://schemas.openxmlformats.org/officeDocument/2006/relationships/hyperlink" Id="rId113" Target="https://pubs.aeaweb.org/doi/10.1257/aer.20190553" TargetMode="External" /><Relationship Type="http://schemas.openxmlformats.org/officeDocument/2006/relationships/hyperlink" Id="rId145" Target="https://research.ebsco.com/linkprocessor/plink?id=183a0f60-6b65-3238-9faf-59d099fff528" TargetMode="External" /><Relationship Type="http://schemas.openxmlformats.org/officeDocument/2006/relationships/hyperlink" Id="rId116" Target="https://www-journals-uchicago-edu.turing.library.northwestern.edu/doi/full/10.1086/724835" TargetMode="External" /><Relationship Type="http://schemas.openxmlformats.org/officeDocument/2006/relationships/hyperlink" Id="rId128" Target="https://www.aeaweb.org/articles?id=10.1257/jep.27.3.79" TargetMode="External" /><Relationship Type="http://schemas.openxmlformats.org/officeDocument/2006/relationships/hyperlink" Id="rId97" Target="https://www.annualreviews.org/doi/10.1146/annurev-soc-060116-053331" TargetMode="External" /><Relationship Type="http://schemas.openxmlformats.org/officeDocument/2006/relationships/hyperlink" Id="rId89" Target="https://www.bakerinstitute.org/research/decline-us-wealth-and-income-inequality" TargetMode="External" /><Relationship Type="http://schemas.openxmlformats.org/officeDocument/2006/relationships/hyperlink" Id="rId148" Target="https://www.census.gov/data/tables/time-series/demo/income-poverty/historical-income-inequality.html" TargetMode="External" /><Relationship Type="http://schemas.openxmlformats.org/officeDocument/2006/relationships/hyperlink" Id="rId94" Target="https://www.journals.uchicago.edu/doi/10.1086/728741" TargetMode="External" /><Relationship Type="http://schemas.openxmlformats.org/officeDocument/2006/relationships/hyperlink" Id="rId131" Target="https://www.jstor.org/stable/10.7758/9781610447805" TargetMode="External" /><Relationship Type="http://schemas.openxmlformats.org/officeDocument/2006/relationships/hyperlink" Id="rId91" Target="https://www.nber.org/papers/w33823" TargetMode="External" /><Relationship Type="http://schemas.openxmlformats.org/officeDocument/2006/relationships/hyperlink" Id="rId139" Target="https://www.ncbi.nlm.nih.gov/pmc/articles/PMC2652960/" TargetMode="External" /><Relationship Type="http://schemas.openxmlformats.org/officeDocument/2006/relationships/hyperlink" Id="rId135" Target="https://www.ncbi.nlm.nih.gov/pmc/articles/PMC9874997/" TargetMode="External" /><Relationship Type="http://schemas.openxmlformats.org/officeDocument/2006/relationships/hyperlink" Id="rId142" Target="https://www.sciencedirect.com/science/article/pii/S02779536970004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Extended Family Approach to Income and Wealth Inequality in the U.S.</dc:title>
  <dc:creator>Author Name(s)</dc:creator>
  <cp:keywords>put keywords here</cp:keywords>
  <dcterms:created xsi:type="dcterms:W3CDTF">2026-03-11T16:42:05Z</dcterms:created>
  <dcterms:modified xsi:type="dcterms:W3CDTF">2026-03-11T16:42:05Z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March 11,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