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Appendix F1. Characteristics of Households and Kin Groups, 1984 and 2023</w:t>
      </w:r>
    </w:p>
    <w:tbl xmlns:a="http://schemas.openxmlformats.org/drawingml/2006/main" xmlns:pic="http://schemas.openxmlformats.org/drawingml/2006/picture">
      <w:tblPr>
        <w:tblLayout w:type="fixed"/>
        <w:jc w:val="center"/>
        <w:tblLook w:firstRow="1" w:lastRow="0" w:firstColumn="0" w:lastColumn="0" w:noHBand="0" w:noVBand="1"/>
      </w:tblPr>
      <w:tblGrid>
        <w:gridCol w:w="2405"/>
        <w:gridCol w:w="1355"/>
        <w:gridCol w:w="1350"/>
        <w:gridCol w:w="1355"/>
        <w:gridCol w:w="1350"/>
      </w:tblGrid>
      <w:tr>
        <w:trPr>
          <w:trHeight w:val="549" w:hRule="auto"/>
          <w:tblHeader/>
        </w:trPr>
        header1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
            </w:r>
          </w:p>
        </w:tc>
        <w:tc>
          <w:tcPr>
            <w:gridSpan w:val="2"/>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1984</w:t>
            </w:r>
          </w:p>
        </w:tc>
        <w:tc>
          <w:tcPr>
            <w:gridSpan w:val="2"/>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2023</w:t>
            </w:r>
          </w:p>
        </w:tc>
      </w:tr>
      <w:tr>
        <w:trPr>
          <w:trHeight w:val="592" w:hRule="auto"/>
          <w:tblHeader/>
        </w:trPr>
        header2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Households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Kin Groups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Households</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Kin Groups</w:t>
            </w:r>
          </w:p>
        </w:tc>
      </w:tr>
      <w:tr>
        <w:trPr>
          <w:trHeight w:val="59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37.3</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 of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11.28</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Average # of households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4.54</w:t>
            </w:r>
          </w:p>
        </w:tc>
      </w:tr>
      <w:tr>
        <w:trPr>
          <w:trHeight w:val="58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Median 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$67,610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$215,901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$68,280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$368,636</w:t>
            </w:r>
          </w:p>
        </w:tc>
      </w:tr>
      <w:tr>
        <w:trPr>
          <w:trHeight w:val="588"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Median wealth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$67,451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$337,958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$131,000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$986,500</w:t>
            </w:r>
          </w:p>
        </w:tc>
      </w:tr>
      <w:tr>
        <w:trPr>
          <w:trHeight w:val="593" w:hRule="auto"/>
        </w:trPr>
        body6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N (unit-years)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5,496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1,731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8,490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1,610</w:t>
            </w:r>
          </w:p>
        </w:tc>
      </w:tr>
      <w:tr>
        <w:trPr>
          <w:trHeight w:val="593"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N Black (unit-years)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2,164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3,550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0"/>
                <w:szCs w:val="20"/>
                <w:color w:val="000000"/>
              </w:rPr>
            </w:pPr>
            <w:r>
              <w:rPr>
                <w:rFonts w:ascii="Times New Roman" w:hAnsi="Times New Roman" w:eastAsia="Times New Roman" w:cs="Times New Roman"/>
                <w:i w:val="false"/>
                <w:b w:val="false"/>
                <w:u w:val="none"/>
                <w:sz w:val="20"/>
                <w:szCs w:val="20"/>
                <w:color w:val="000000"/>
              </w:rPr>
              <w:t xml:space="preserve">513</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18"/>
                <w:szCs w:val="18"/>
                <w:color w:val="000000"/>
              </w:rPr>
            </w:pPr>
            <w:r>
              <w:rPr>
                <w:rFonts w:ascii="Times New Roman" w:hAnsi="Times New Roman" w:eastAsia="Times New Roman" w:cs="Times New Roman"/>
                <w:i w:val="false"/>
                <w:b w:val="false"/>
                <w:u w:val="none"/>
                <w:sz w:val="18"/>
                <w:szCs w:val="18"/>
                <w:color w:val="000000"/>
              </w:rPr>
              <w:t xml:space="preserve">Note: Average age, number of people, and number of households are based on the income sample (1969-2023), which contains 2,906 unique kin groups. Median wealth is based on the wealth sample (1984-2023) and includes home equity. Size and median values are weighted using PSID family and constructed kin group weights (see Methods). Pooled across all years, the wealth sample contains 122,069 household-years and 26,655 kin group-years (46,287 and 8,470 Black, respectively) from 2,636 unique kin groups, with an average size of 2.27 individuals per household and 10.56 individuals (4.18 households) per kin group, and an average age of 36.3 for households and 34.1 for kin groups. Estimates are adjusted for inflation and expressed in 2023 dollars.</w:t>
            </w:r>
          </w:p>
        </w:tc>
      </w:tr>
    </w:tbl>
    <w:sectPr>
      <w:pgMar w:header="708" w:bottom="1417" w:top="1417" w:right="1417" w:left="1417"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2026-10-21T11:22:29Z</dcterms:modified>
  <cp:category/>
</cp:coreProperties>
</file>