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5.png" ContentType="image/png"/>
  <Override PartName="/word/media/rId28.png" ContentType="image/png"/>
  <Override PartName="/word/media/rId31.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Author Name(s)</w:t>
      </w:r>
    </w:p>
    <w:p>
      <w:pPr>
        <w:pStyle w:val="Date"/>
      </w:pPr>
      <w:r>
        <w:t xml:space="preserve">March 05, 2026</w:t>
      </w:r>
    </w:p>
    <w:bookmarkStart w:id="9" w:name="abstract"/>
    <w:p>
      <w:pPr>
        <w:pStyle w:val="Heading1"/>
      </w:pP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0.12 points on average (from 0.43 to 0.31),</w:t>
      </w:r>
      <w:r>
        <w:t xml:space="preserve"> </w:t>
      </w:r>
      <w:r>
        <w:t xml:space="preserve">a 28.34% reduction, while the wealth Gini declines by</w:t>
      </w:r>
      <w:r>
        <w:t xml:space="preserve"> </w:t>
      </w:r>
      <w:r>
        <w:t xml:space="preserve">0.16 points on average (from 0.82 to 0.66), or about</w:t>
      </w:r>
      <w:r>
        <w:t xml:space="preserve"> </w:t>
      </w:r>
      <w:r>
        <w:t xml:space="preserve">19.6%.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(20.61% vs. 15.98%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2"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are estimated from weighted data using PSID family and clan weights. Weighted mean income is $107,534 for households and $415,687 for clans. Weighted mean wealth is $490,457 for households and $1,884,939 for clans (wealth includes home equity). Income Gini for households rose by 16.0% (0.41 in 1969 to 0.48 in 2023); for clans by 20.6% (0.30 to 0.36). Wealth Gini for households rose by 4.5% (0.78 in 1984 to 0.81 in 2023); for clans by 4.4% (0.61 to 0.64). Solid lines = households; dotted lines = clans.</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16.0% from 0.41 in 1969 to 0.48 in 2023. Income inequality measured at the clan level, meanwhile, rose 20.6% from 0.30 to 0.36 over the same period. As both measurements are trending upwards, this means that clan income inequality is increasing at a faster pace than household income inequality. If we were to project these trends linearly into the future, by 705 household and clan income inequality would appear identical. Put another way, these trends reflect a narrowing of income inequality between households and clans over time: in 1969 the gap between the two was 0.12. By 2023 it had decreased to 0.12.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0.78 in 1984 to 0.81 in 2023, a 4.5% increase. At the clan level, it rose from 0.61 to 0.64 over the same period, which also constitutes a 4.4% increase. In other words, the clan-household gap in wealth inequality as measured by the Gini coefficient has remained stable, moving from 0.17 in 1984 to 0.17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 Solid lines = households; dotted lines = clans. 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drawing>
          <wp:inline>
            <wp:extent cx="5334000" cy="4191000"/>
            <wp:effectExtent b="0" l="0" r="0" t="0"/>
            <wp:docPr descr="" title="" id="20" name="Picture"/>
            <a:graphic>
              <a:graphicData uri="http://schemas.openxmlformats.org/drawingml/2006/picture">
                <pic:pic>
                  <pic:nvPicPr>
                    <pic:cNvPr descr="../9_figures/output/figure3.pdf"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r>
        <w:t xml:space="preserve"> </w:t>
      </w:r>
      <w:r>
        <w:rPr>
          <w:i/>
          <w:iCs/>
        </w:rPr>
        <w:t xml:space="preserve">Note: Lines show the ratio of weighted mean income (Panel A) or wealth (Panel B) for Black households and clans relative to Non-Black households and clans. Estimates are weighted, A value of 1 indicates parity between Black and non-Black households or clans.For income, the household ratio was 0.65 in the first year and 0.62 in the last year; the clan ratio was 0.63 and 0.58. For wealth, the household ratio was 0.18 in the first year and 0.18 in the last year; the clan ratio was 0.23 and 0.20. Wealth includes home equity.</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p>
    <w:bookmarkEnd w:id="22"/>
    <w:bookmarkStart w:id="23"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20]</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[21–23]</w:t>
      </w:r>
      <w:r>
        <w:t xml:space="preserve"> </w:t>
      </w:r>
      <w:r>
        <w:t xml:space="preserve">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3"/>
    <w:bookmarkStart w:id="24"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20]</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[20, 24]</w:t>
      </w:r>
      <w:r>
        <w:t xml:space="preserve">. All income and wealth values are adjusted for inflation. Additionally, analyses set negative values of income and wealth to zero so that Gini coefficients remain in the 0 to 1 range (see Appendix D1 and F1). To construct clan-level measures, we aggregate household income and wealth for all households in a clan within each clan-year.</w:t>
      </w:r>
    </w:p>
    <w:p>
      <w:pPr>
        <w:pStyle w:val="BodyText"/>
      </w:pPr>
      <w:r>
        <w:t xml:space="preserve">All results presented are weighted. Using weights does not meaningfully change results (see Appendix D4 and F4).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These weights are applied to total clan income or wealth (rather than mean income or wealth) to avoid double standardization by household counts. In effect, clan weights already incorporate the number of households within a clan.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[25]</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Although widely used, the Gini has well-known limitations: it cannot distinguish between different inequality patterns and is most sensitive to variation in the middle of the income or wealth distribution</w:t>
      </w:r>
      <w:r>
        <w:t xml:space="preserve"> </w:t>
      </w:r>
      <w:r>
        <w:t xml:space="preserve">[26–28]</w:t>
      </w:r>
      <w:r>
        <w:t xml:space="preserve">. These features make it well suited to the PSID, which underrepresents wealthy households compared with surveys such as the Survey of Consumer Finance.</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4"/>
    <w:bookmarkStart w:id="36" w:name="appendix"/>
    <w:p>
      <w:pPr>
        <w:pStyle w:val="Heading1"/>
      </w:pPr>
      <w:r>
        <w:t xml:space="preserve">Appendix</w:t>
      </w:r>
    </w:p>
    <w:bookmarkStart w:id="34"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26" name="Picture"/>
            <a:graphic>
              <a:graphicData uri="http://schemas.openxmlformats.org/drawingml/2006/picture">
                <pic:pic>
                  <pic:nvPicPr>
                    <pic:cNvPr descr="/Users/amanda/Desktop/clan_project/10_draft/output/write_files/figure-docx/appendix-a1-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29" name="Picture"/>
            <a:graphic>
              <a:graphicData uri="http://schemas.openxmlformats.org/drawingml/2006/picture">
                <pic:pic>
                  <pic:nvPicPr>
                    <pic:cNvPr descr="/Users/amanda/Desktop/clan_project/10_draft/output/write_files/figure-docx/appendix-a2-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2" name="Picture"/>
            <a:graphic>
              <a:graphicData uri="http://schemas.openxmlformats.org/drawingml/2006/picture">
                <pic:pic>
                  <pic:nvPicPr>
                    <pic:cNvPr descr="/Users/amanda/Desktop/clan_project/10_draft/output/write_files/figure-docx/appendix-a3-1.png" id="33" name="Picture"/>
                    <pic:cNvPicPr>
                      <a:picLocks noChangeArrowheads="1" noChangeAspect="1"/>
                    </pic:cNvPicPr>
                  </pic:nvPicPr>
                  <pic:blipFill>
                    <a:blip r:embed="rId31"/>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4"/>
    <w:bookmarkStart w:id="35"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29]</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[30, 31]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5"/>
    <w:bookmarkEnd w:id="36"/>
    <w:bookmarkStart w:id="40" w:name="X0725f81ad50d659f5f315d5b9354a8278899984"/>
    <w:p>
      <w:pPr>
        <w:pStyle w:val="Heading1"/>
      </w:pPr>
      <w:r>
        <w:t xml:space="preserve">Appendix C: Alternative Inequality Measures</w:t>
      </w:r>
    </w:p>
    <w:p>
      <w:pPr>
        <w:pStyle w:val="FirstParagraph"/>
      </w:pPr>
      <w:r>
        <w:drawing>
          <wp:inline>
            <wp:extent cx="5334000" cy="4953000"/>
            <wp:effectExtent b="0" l="0" r="0" t="0"/>
            <wp:docPr descr="" title="" id="38" name="Picture"/>
            <a:graphic>
              <a:graphicData uri="http://schemas.openxmlformats.org/drawingml/2006/picture">
                <pic:pic>
                  <pic:nvPicPr>
                    <pic:cNvPr descr="/Users/amanda/Desktop/clan_project/10_draft/output/write_files/figure-docx/appendix-c-1.png" id="39" name="Picture"/>
                    <pic:cNvPicPr>
                      <a:picLocks noChangeArrowheads="1" noChangeAspect="1"/>
                    </pic:cNvPicPr>
                  </pic:nvPicPr>
                  <pic:blipFill>
                    <a:blip r:embed="rId37"/>
                    <a:stretch>
                      <a:fillRect/>
                    </a:stretch>
                  </pic:blipFill>
                  <pic:spPr bwMode="auto">
                    <a:xfrm>
                      <a:off x="0" y="0"/>
                      <a:ext cx="5334000" cy="4953000"/>
                    </a:xfrm>
                    <a:prstGeom prst="rect">
                      <a:avLst/>
                    </a:prstGeom>
                    <a:noFill/>
                    <a:ln w="9525">
                      <a:noFill/>
                      <a:headEnd/>
                      <a:tailEnd/>
                    </a:ln>
                  </pic:spPr>
                </pic:pic>
              </a:graphicData>
            </a:graphic>
          </wp:inline>
        </w:drawing>
      </w:r>
    </w:p>
    <w:bookmarkEnd w:id="40"/>
    <w:bookmarkStart w:id="44" w:name="appendix-d1-sensitivity-negative-values"/>
    <w:p>
      <w:pPr>
        <w:pStyle w:val="Heading1"/>
      </w:pPr>
      <w:r>
        <w:t xml:space="preserve">Appendix D1: Sensitivity — Negative Values</w:t>
      </w:r>
    </w:p>
    <w:p>
      <w:pPr>
        <w:pStyle w:val="FirstParagraph"/>
      </w:pPr>
      <w:r>
        <w:drawing>
          <wp:inline>
            <wp:extent cx="5334000" cy="4191000"/>
            <wp:effectExtent b="0" l="0" r="0" t="0"/>
            <wp:docPr descr="" title="" id="42" name="Picture"/>
            <a:graphic>
              <a:graphicData uri="http://schemas.openxmlformats.org/drawingml/2006/picture">
                <pic:pic>
                  <pic:nvPicPr>
                    <pic:cNvPr descr="/Users/amanda/Desktop/clan_project/10_draft/output/write_files/figure-docx/appendix-d1-1.png" id="43" name="Picture"/>
                    <pic:cNvPicPr>
                      <a:picLocks noChangeArrowheads="1" noChangeAspect="1"/>
                    </pic:cNvPicPr>
                  </pic:nvPicPr>
                  <pic:blipFill>
                    <a:blip r:embed="rId41"/>
                    <a:stretch>
                      <a:fillRect/>
                    </a:stretch>
                  </pic:blipFill>
                  <pic:spPr bwMode="auto">
                    <a:xfrm>
                      <a:off x="0" y="0"/>
                      <a:ext cx="5334000" cy="4191000"/>
                    </a:xfrm>
                    <a:prstGeom prst="rect">
                      <a:avLst/>
                    </a:prstGeom>
                    <a:noFill/>
                    <a:ln w="9525">
                      <a:noFill/>
                      <a:headEnd/>
                      <a:tailEnd/>
                    </a:ln>
                  </pic:spPr>
                </pic:pic>
              </a:graphicData>
            </a:graphic>
          </wp:inline>
        </w:drawing>
      </w:r>
    </w:p>
    <w:bookmarkEnd w:id="44"/>
    <w:bookmarkStart w:id="48" w:name="X2c0ca198151b488f0a5fd9ab3a13059241107bf"/>
    <w:p>
      <w:pPr>
        <w:pStyle w:val="Heading1"/>
      </w:pPr>
      <w:r>
        <w:t xml:space="preserve">Appendix D2: Sensitivity — Wealth With and Without Home Equity</w:t>
      </w:r>
    </w:p>
    <w:p>
      <w:pPr>
        <w:pStyle w:val="FirstParagraph"/>
      </w:pPr>
      <w:r>
        <w:drawing>
          <wp:inline>
            <wp:extent cx="5334000" cy="2667000"/>
            <wp:effectExtent b="0" l="0" r="0" t="0"/>
            <wp:docPr descr="" title="" id="46" name="Picture"/>
            <a:graphic>
              <a:graphicData uri="http://schemas.openxmlformats.org/drawingml/2006/picture">
                <pic:pic>
                  <pic:nvPicPr>
                    <pic:cNvPr descr="/Users/amanda/Desktop/clan_project/10_draft/output/write_files/figure-docx/appendix-d2-1.png" id="47" name="Picture"/>
                    <pic:cNvPicPr>
                      <a:picLocks noChangeArrowheads="1" noChangeAspect="1"/>
                    </pic:cNvPicPr>
                  </pic:nvPicPr>
                  <pic:blipFill>
                    <a:blip r:embed="rId45"/>
                    <a:stretch>
                      <a:fillRect/>
                    </a:stretch>
                  </pic:blipFill>
                  <pic:spPr bwMode="auto">
                    <a:xfrm>
                      <a:off x="0" y="0"/>
                      <a:ext cx="5334000" cy="2667000"/>
                    </a:xfrm>
                    <a:prstGeom prst="rect">
                      <a:avLst/>
                    </a:prstGeom>
                    <a:noFill/>
                    <a:ln w="9525">
                      <a:noFill/>
                      <a:headEnd/>
                      <a:tailEnd/>
                    </a:ln>
                  </pic:spPr>
                </pic:pic>
              </a:graphicData>
            </a:graphic>
          </wp:inline>
        </w:drawing>
      </w:r>
    </w:p>
    <w:bookmarkEnd w:id="48"/>
    <w:bookmarkStart w:id="52" w:name="X796f0aa327689e7912dc08c18898cdb7c82e5b7"/>
    <w:p>
      <w:pPr>
        <w:pStyle w:val="Heading1"/>
      </w:pPr>
      <w:r>
        <w:t xml:space="preserve">Appendix D3: Sensitivity — Single-Household Clans</w:t>
      </w:r>
    </w:p>
    <w:p>
      <w:pPr>
        <w:pStyle w:val="FirstParagraph"/>
      </w:pPr>
      <w:r>
        <w:drawing>
          <wp:inline>
            <wp:extent cx="5334000" cy="4191000"/>
            <wp:effectExtent b="0" l="0" r="0" t="0"/>
            <wp:docPr descr="" title="" id="50" name="Picture"/>
            <a:graphic>
              <a:graphicData uri="http://schemas.openxmlformats.org/drawingml/2006/picture">
                <pic:pic>
                  <pic:nvPicPr>
                    <pic:cNvPr descr="/Users/amanda/Desktop/clan_project/10_draft/output/write_files/figure-docx/appendix-d3-1.png" id="51" name="Picture"/>
                    <pic:cNvPicPr>
                      <a:picLocks noChangeArrowheads="1" noChangeAspect="1"/>
                    </pic:cNvPicPr>
                  </pic:nvPicPr>
                  <pic:blipFill>
                    <a:blip r:embed="rId49"/>
                    <a:stretch>
                      <a:fillRect/>
                    </a:stretch>
                  </pic:blipFill>
                  <pic:spPr bwMode="auto">
                    <a:xfrm>
                      <a:off x="0" y="0"/>
                      <a:ext cx="5334000" cy="4191000"/>
                    </a:xfrm>
                    <a:prstGeom prst="rect">
                      <a:avLst/>
                    </a:prstGeom>
                    <a:noFill/>
                    <a:ln w="9525">
                      <a:noFill/>
                      <a:headEnd/>
                      <a:tailEnd/>
                    </a:ln>
                  </pic:spPr>
                </pic:pic>
              </a:graphicData>
            </a:graphic>
          </wp:inline>
        </w:drawing>
      </w:r>
    </w:p>
    <w:bookmarkEnd w:id="52"/>
    <w:bookmarkStart w:id="56" w:name="appendix-d4-sensitivity-weighting"/>
    <w:p>
      <w:pPr>
        <w:pStyle w:val="Heading1"/>
      </w:pPr>
      <w:r>
        <w:t xml:space="preserve">Appendix D4: Sensitivity — Weighting</w:t>
      </w:r>
    </w:p>
    <w:p>
      <w:pPr>
        <w:pStyle w:val="FirstParagraph"/>
      </w:pPr>
      <w:r>
        <w:drawing>
          <wp:inline>
            <wp:extent cx="5334000" cy="4191000"/>
            <wp:effectExtent b="0" l="0" r="0" t="0"/>
            <wp:docPr descr="" title="" id="54" name="Picture"/>
            <a:graphic>
              <a:graphicData uri="http://schemas.openxmlformats.org/drawingml/2006/picture">
                <pic:pic>
                  <pic:nvPicPr>
                    <pic:cNvPr descr="/Users/amanda/Desktop/clan_project/10_draft/output/write_files/figure-docx/appendix-d4-1.png" id="55" name="Picture"/>
                    <pic:cNvPicPr>
                      <a:picLocks noChangeArrowheads="1" noChangeAspect="1"/>
                    </pic:cNvPicPr>
                  </pic:nvPicPr>
                  <pic:blipFill>
                    <a:blip r:embed="rId53"/>
                    <a:stretch>
                      <a:fillRect/>
                    </a:stretch>
                  </pic:blipFill>
                  <pic:spPr bwMode="auto">
                    <a:xfrm>
                      <a:off x="0" y="0"/>
                      <a:ext cx="5334000" cy="4191000"/>
                    </a:xfrm>
                    <a:prstGeom prst="rect">
                      <a:avLst/>
                    </a:prstGeom>
                    <a:noFill/>
                    <a:ln w="9525">
                      <a:noFill/>
                      <a:headEnd/>
                      <a:tailEnd/>
                    </a:ln>
                  </pic:spPr>
                </pic:pic>
              </a:graphicData>
            </a:graphic>
          </wp:inline>
        </w:drawing>
      </w:r>
    </w:p>
    <w:bookmarkEnd w:id="56"/>
    <w:bookmarkStart w:id="60" w:name="X47e0622b93f76056e7f4ad3b772b6ce26b8cfe3"/>
    <w:p>
      <w:pPr>
        <w:pStyle w:val="Heading1"/>
      </w:pPr>
      <w:r>
        <w:t xml:space="preserve">Appendix D5: Sensitivity — Size Standardization</w:t>
      </w:r>
    </w:p>
    <w:p>
      <w:pPr>
        <w:pStyle w:val="FirstParagraph"/>
      </w:pPr>
      <w:r>
        <w:drawing>
          <wp:inline>
            <wp:extent cx="5334000" cy="4191000"/>
            <wp:effectExtent b="0" l="0" r="0" t="0"/>
            <wp:docPr descr="" title="" id="58" name="Picture"/>
            <a:graphic>
              <a:graphicData uri="http://schemas.openxmlformats.org/drawingml/2006/picture">
                <pic:pic>
                  <pic:nvPicPr>
                    <pic:cNvPr descr="/Users/amanda/Desktop/clan_project/10_draft/output/write_files/figure-docx/appendix-d5-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bookmarkEnd w:id="60"/>
    <w:bookmarkStart w:id="64" w:name="X750f075da32d67249c4b5a4cf57648e8a17e2c3"/>
    <w:p>
      <w:pPr>
        <w:pStyle w:val="Heading1"/>
      </w:pPr>
      <w:r>
        <w:t xml:space="preserve">Appendix D6: Gini Coefficients by Race Subgroup</w:t>
      </w:r>
    </w:p>
    <w:p>
      <w:pPr>
        <w:pStyle w:val="FirstParagraph"/>
      </w:pPr>
      <w:r>
        <w:drawing>
          <wp:inline>
            <wp:extent cx="5334000" cy="4191000"/>
            <wp:effectExtent b="0" l="0" r="0" t="0"/>
            <wp:docPr descr="" title="" id="62" name="Picture"/>
            <a:graphic>
              <a:graphicData uri="http://schemas.openxmlformats.org/drawingml/2006/picture">
                <pic:pic>
                  <pic:nvPicPr>
                    <pic:cNvPr descr="/Users/amanda/Desktop/clan_project/10_draft/output/write_files/figure-docx/appendix-d6-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bookmarkEnd w:id="64"/>
    <w:bookmarkStart w:id="68" w:name="X3ca48920e7b797c3dd18e23810b9df77528cee2"/>
    <w:p>
      <w:pPr>
        <w:pStyle w:val="Heading1"/>
      </w:pPr>
      <w:r>
        <w:t xml:space="preserve">Appendix E: Distribution of Income and Wealth</w:t>
      </w:r>
    </w:p>
    <w:p>
      <w:pPr>
        <w:pStyle w:val="FirstParagraph"/>
      </w:pPr>
      <w:r>
        <w:drawing>
          <wp:inline>
            <wp:extent cx="5334000" cy="4191000"/>
            <wp:effectExtent b="0" l="0" r="0" t="0"/>
            <wp:docPr descr="" title="" id="66" name="Picture"/>
            <a:graphic>
              <a:graphicData uri="http://schemas.openxmlformats.org/drawingml/2006/picture">
                <pic:pic>
                  <pic:nvPicPr>
                    <pic:cNvPr descr="/Users/amanda/Desktop/clan_project/10_draft/output/write_files/figure-docx/appendix-e-1.png" id="67" name="Picture"/>
                    <pic:cNvPicPr>
                      <a:picLocks noChangeArrowheads="1" noChangeAspect="1"/>
                    </pic:cNvPicPr>
                  </pic:nvPicPr>
                  <pic:blipFill>
                    <a:blip r:embed="rId65"/>
                    <a:stretch>
                      <a:fillRect/>
                    </a:stretch>
                  </pic:blipFill>
                  <pic:spPr bwMode="auto">
                    <a:xfrm>
                      <a:off x="0" y="0"/>
                      <a:ext cx="5334000" cy="4191000"/>
                    </a:xfrm>
                    <a:prstGeom prst="rect">
                      <a:avLst/>
                    </a:prstGeom>
                    <a:noFill/>
                    <a:ln w="9525">
                      <a:noFill/>
                      <a:headEnd/>
                      <a:tailEnd/>
                    </a:ln>
                  </pic:spPr>
                </pic:pic>
              </a:graphicData>
            </a:graphic>
          </wp:inline>
        </w:drawing>
      </w:r>
    </w:p>
    <w:bookmarkEnd w:id="68"/>
    <w:bookmarkStart w:id="72" w:name="appendix-f1-race-ratios-negative-values"/>
    <w:p>
      <w:pPr>
        <w:pStyle w:val="Heading1"/>
      </w:pPr>
      <w:r>
        <w:t xml:space="preserve">Appendix F1: Race Ratios — Negative Values</w:t>
      </w:r>
    </w:p>
    <w:p>
      <w:pPr>
        <w:pStyle w:val="FirstParagraph"/>
      </w:pPr>
      <w:r>
        <w:drawing>
          <wp:inline>
            <wp:extent cx="5334000" cy="4191000"/>
            <wp:effectExtent b="0" l="0" r="0" t="0"/>
            <wp:docPr descr="" title="" id="70" name="Picture"/>
            <a:graphic>
              <a:graphicData uri="http://schemas.openxmlformats.org/drawingml/2006/picture">
                <pic:pic>
                  <pic:nvPicPr>
                    <pic:cNvPr descr="/Users/amanda/Desktop/clan_project/10_draft/output/write_files/figure-docx/appendix-f1-1.png" id="71" name="Picture"/>
                    <pic:cNvPicPr>
                      <a:picLocks noChangeArrowheads="1" noChangeAspect="1"/>
                    </pic:cNvPicPr>
                  </pic:nvPicPr>
                  <pic:blipFill>
                    <a:blip r:embed="rId69"/>
                    <a:stretch>
                      <a:fillRect/>
                    </a:stretch>
                  </pic:blipFill>
                  <pic:spPr bwMode="auto">
                    <a:xfrm>
                      <a:off x="0" y="0"/>
                      <a:ext cx="5334000" cy="4191000"/>
                    </a:xfrm>
                    <a:prstGeom prst="rect">
                      <a:avLst/>
                    </a:prstGeom>
                    <a:noFill/>
                    <a:ln w="9525">
                      <a:noFill/>
                      <a:headEnd/>
                      <a:tailEnd/>
                    </a:ln>
                  </pic:spPr>
                </pic:pic>
              </a:graphicData>
            </a:graphic>
          </wp:inline>
        </w:drawing>
      </w:r>
    </w:p>
    <w:bookmarkEnd w:id="72"/>
    <w:bookmarkStart w:id="76" w:name="Xe408c392d53d71a7a9d72befc7a6c94911a5caf"/>
    <w:p>
      <w:pPr>
        <w:pStyle w:val="Heading1"/>
      </w:pPr>
      <w:r>
        <w:t xml:space="preserve">Appendix F2: Race Ratios — Wealth With and Without Home Equity</w:t>
      </w:r>
    </w:p>
    <w:p>
      <w:pPr>
        <w:pStyle w:val="FirstParagraph"/>
      </w:pPr>
      <w:r>
        <w:drawing>
          <wp:inline>
            <wp:extent cx="5334000" cy="2667000"/>
            <wp:effectExtent b="0" l="0" r="0" t="0"/>
            <wp:docPr descr="" title="" id="74" name="Picture"/>
            <a:graphic>
              <a:graphicData uri="http://schemas.openxmlformats.org/drawingml/2006/picture">
                <pic:pic>
                  <pic:nvPicPr>
                    <pic:cNvPr descr="/Users/amanda/Desktop/clan_project/10_draft/output/write_files/figure-docx/appendix-f2-1.png" id="75" name="Picture"/>
                    <pic:cNvPicPr>
                      <a:picLocks noChangeArrowheads="1" noChangeAspect="1"/>
                    </pic:cNvPicPr>
                  </pic:nvPicPr>
                  <pic:blipFill>
                    <a:blip r:embed="rId73"/>
                    <a:stretch>
                      <a:fillRect/>
                    </a:stretch>
                  </pic:blipFill>
                  <pic:spPr bwMode="auto">
                    <a:xfrm>
                      <a:off x="0" y="0"/>
                      <a:ext cx="5334000" cy="2667000"/>
                    </a:xfrm>
                    <a:prstGeom prst="rect">
                      <a:avLst/>
                    </a:prstGeom>
                    <a:noFill/>
                    <a:ln w="9525">
                      <a:noFill/>
                      <a:headEnd/>
                      <a:tailEnd/>
                    </a:ln>
                  </pic:spPr>
                </pic:pic>
              </a:graphicData>
            </a:graphic>
          </wp:inline>
        </w:drawing>
      </w:r>
    </w:p>
    <w:bookmarkEnd w:id="76"/>
    <w:bookmarkStart w:id="80" w:name="X9f0dd96eadad89e8a50793fc4b191c5f1b6409e"/>
    <w:p>
      <w:pPr>
        <w:pStyle w:val="Heading1"/>
      </w:pPr>
      <w:r>
        <w:t xml:space="preserve">Appendix F3: Race Ratios — Single-Household Clans</w:t>
      </w:r>
    </w:p>
    <w:p>
      <w:pPr>
        <w:pStyle w:val="FirstParagraph"/>
      </w:pPr>
      <w:r>
        <w:drawing>
          <wp:inline>
            <wp:extent cx="5334000" cy="4191000"/>
            <wp:effectExtent b="0" l="0" r="0" t="0"/>
            <wp:docPr descr="" title="" id="78" name="Picture"/>
            <a:graphic>
              <a:graphicData uri="http://schemas.openxmlformats.org/drawingml/2006/picture">
                <pic:pic>
                  <pic:nvPicPr>
                    <pic:cNvPr descr="/Users/amanda/Desktop/clan_project/10_draft/output/write_files/figure-docx/appendix-f3-1.png" id="79" name="Picture"/>
                    <pic:cNvPicPr>
                      <a:picLocks noChangeArrowheads="1" noChangeAspect="1"/>
                    </pic:cNvPicPr>
                  </pic:nvPicPr>
                  <pic:blipFill>
                    <a:blip r:embed="rId77"/>
                    <a:stretch>
                      <a:fillRect/>
                    </a:stretch>
                  </pic:blipFill>
                  <pic:spPr bwMode="auto">
                    <a:xfrm>
                      <a:off x="0" y="0"/>
                      <a:ext cx="5334000" cy="4191000"/>
                    </a:xfrm>
                    <a:prstGeom prst="rect">
                      <a:avLst/>
                    </a:prstGeom>
                    <a:noFill/>
                    <a:ln w="9525">
                      <a:noFill/>
                      <a:headEnd/>
                      <a:tailEnd/>
                    </a:ln>
                  </pic:spPr>
                </pic:pic>
              </a:graphicData>
            </a:graphic>
          </wp:inline>
        </w:drawing>
      </w:r>
    </w:p>
    <w:bookmarkEnd w:id="80"/>
    <w:bookmarkStart w:id="151" w:name="appendix-f4-race-ratios-weighting"/>
    <w:p>
      <w:pPr>
        <w:pStyle w:val="Heading1"/>
      </w:pPr>
      <w:r>
        <w:t xml:space="preserve">Appendix F4: Race Ratios — Weighting</w:t>
      </w:r>
    </w:p>
    <w:p>
      <w:pPr>
        <w:pStyle w:val="FirstParagraph"/>
      </w:pPr>
      <w:r>
        <w:drawing>
          <wp:inline>
            <wp:extent cx="5334000" cy="4191000"/>
            <wp:effectExtent b="0" l="0" r="0" t="0"/>
            <wp:docPr descr="" title="" id="82" name="Picture"/>
            <a:graphic>
              <a:graphicData uri="http://schemas.openxmlformats.org/drawingml/2006/picture">
                <pic:pic>
                  <pic:nvPicPr>
                    <pic:cNvPr descr="/Users/amanda/Desktop/clan_project/10_draft/output/write_files/figure-docx/appendix-f4-1.png" id="83" name="Picture"/>
                    <pic:cNvPicPr>
                      <a:picLocks noChangeArrowheads="1" noChangeAspect="1"/>
                    </pic:cNvPicPr>
                  </pic:nvPicPr>
                  <pic:blipFill>
                    <a:blip r:embed="rId81"/>
                    <a:stretch>
                      <a:fillRect/>
                    </a:stretch>
                  </pic:blipFill>
                  <pic:spPr bwMode="auto">
                    <a:xfrm>
                      <a:off x="0" y="0"/>
                      <a:ext cx="5334000" cy="4191000"/>
                    </a:xfrm>
                    <a:prstGeom prst="rect">
                      <a:avLst/>
                    </a:prstGeom>
                    <a:noFill/>
                    <a:ln w="9525">
                      <a:noFill/>
                      <a:headEnd/>
                      <a:tailEnd/>
                    </a:ln>
                  </pic:spPr>
                </pic:pic>
              </a:graphicData>
            </a:graphic>
          </wp:inline>
        </w:drawing>
      </w:r>
    </w:p>
    <w:bookmarkStart w:id="150" w:name="refs"/>
    <w:bookmarkStart w:id="85"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84">
        <w:r>
          <w:rPr>
            <w:rStyle w:val="Hyperlink"/>
          </w:rPr>
          <w:t xml:space="preserve">https://fred.stlouisfed.org/series/SIPOVGINIUSA</w:t>
        </w:r>
      </w:hyperlink>
    </w:p>
    <w:bookmarkEnd w:id="85"/>
    <w:bookmarkStart w:id="87"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86">
        <w:r>
          <w:rPr>
            <w:rStyle w:val="Hyperlink"/>
          </w:rPr>
          <w:t xml:space="preserve">https://www.bakerinstitute.org/research/decline-us-wealth-and-income-inequality</w:t>
        </w:r>
      </w:hyperlink>
    </w:p>
    <w:bookmarkEnd w:id="87"/>
    <w:bookmarkStart w:id="90"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88">
        <w:r>
          <w:rPr>
            <w:rStyle w:val="Hyperlink"/>
          </w:rPr>
          <w:t xml:space="preserve">https://www.nber.org/papers/w33823</w:t>
        </w:r>
      </w:hyperlink>
      <w:r>
        <w:t xml:space="preserve">. doi:</w:t>
      </w:r>
      <w:hyperlink r:id="rId89">
        <w:r>
          <w:rPr>
            <w:rStyle w:val="Hyperlink"/>
          </w:rPr>
          <w:t xml:space="preserve">10.3386/w33823</w:t>
        </w:r>
      </w:hyperlink>
    </w:p>
    <w:bookmarkEnd w:id="90"/>
    <w:bookmarkStart w:id="93"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91">
        <w:r>
          <w:rPr>
            <w:rStyle w:val="Hyperlink"/>
          </w:rPr>
          <w:t xml:space="preserve">https://www.journals.uchicago.edu/doi/10.1086/728741</w:t>
        </w:r>
      </w:hyperlink>
      <w:r>
        <w:t xml:space="preserve">. doi:</w:t>
      </w:r>
      <w:hyperlink r:id="rId92">
        <w:r>
          <w:rPr>
            <w:rStyle w:val="Hyperlink"/>
          </w:rPr>
          <w:t xml:space="preserve">10.1086/728741</w:t>
        </w:r>
      </w:hyperlink>
    </w:p>
    <w:bookmarkEnd w:id="93"/>
    <w:bookmarkStart w:id="96"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94">
        <w:r>
          <w:rPr>
            <w:rStyle w:val="Hyperlink"/>
          </w:rPr>
          <w:t xml:space="preserve">https://www.annualreviews.org/doi/10.1146/annurev-soc-060116-053331</w:t>
        </w:r>
      </w:hyperlink>
      <w:r>
        <w:t xml:space="preserve">. doi:</w:t>
      </w:r>
      <w:hyperlink r:id="rId95">
        <w:r>
          <w:rPr>
            <w:rStyle w:val="Hyperlink"/>
          </w:rPr>
          <w:t xml:space="preserve">10.1146/annurev-soc-060116-053331</w:t>
        </w:r>
      </w:hyperlink>
    </w:p>
    <w:bookmarkEnd w:id="96"/>
    <w:bookmarkStart w:id="98"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97">
        <w:r>
          <w:rPr>
            <w:rStyle w:val="Hyperlink"/>
          </w:rPr>
          <w:t xml:space="preserve">https://doi.org/10.1093/qje/qjw004</w:t>
        </w:r>
      </w:hyperlink>
      <w:r>
        <w:t xml:space="preserve">. doi:</w:t>
      </w:r>
      <w:hyperlink r:id="rId97">
        <w:r>
          <w:rPr>
            <w:rStyle w:val="Hyperlink"/>
          </w:rPr>
          <w:t xml:space="preserve">10.1093/qje/qjw004</w:t>
        </w:r>
      </w:hyperlink>
    </w:p>
    <w:bookmarkEnd w:id="98"/>
    <w:bookmarkStart w:id="99"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99"/>
    <w:bookmarkStart w:id="101"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100">
        <w:r>
          <w:rPr>
            <w:rStyle w:val="Hyperlink"/>
          </w:rPr>
          <w:t xml:space="preserve">10.1037/11282-004</w:t>
        </w:r>
      </w:hyperlink>
    </w:p>
    <w:bookmarkEnd w:id="101"/>
    <w:bookmarkStart w:id="103"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102">
        <w:r>
          <w:rPr>
            <w:rStyle w:val="Hyperlink"/>
          </w:rPr>
          <w:t xml:space="preserve">https://doi.org/10.1007/s13524-018-0719-y</w:t>
        </w:r>
      </w:hyperlink>
      <w:r>
        <w:t xml:space="preserve">. doi:</w:t>
      </w:r>
      <w:hyperlink r:id="rId102">
        <w:r>
          <w:rPr>
            <w:rStyle w:val="Hyperlink"/>
          </w:rPr>
          <w:t xml:space="preserve">10.1007/s13524-018-0719-y</w:t>
        </w:r>
      </w:hyperlink>
    </w:p>
    <w:bookmarkEnd w:id="103"/>
    <w:bookmarkStart w:id="105"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104">
        <w:r>
          <w:rPr>
            <w:rStyle w:val="Hyperlink"/>
          </w:rPr>
          <w:t xml:space="preserve">https://doi.org/10.1007/s13524-011-0014-7</w:t>
        </w:r>
      </w:hyperlink>
      <w:r>
        <w:t xml:space="preserve">. doi:</w:t>
      </w:r>
      <w:hyperlink r:id="rId104">
        <w:r>
          <w:rPr>
            <w:rStyle w:val="Hyperlink"/>
          </w:rPr>
          <w:t xml:space="preserve">10.1007/s13524-011-0014-7</w:t>
        </w:r>
      </w:hyperlink>
    </w:p>
    <w:bookmarkEnd w:id="105"/>
    <w:bookmarkStart w:id="107"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106">
        <w:r>
          <w:rPr>
            <w:rStyle w:val="Hyperlink"/>
          </w:rPr>
          <w:t xml:space="preserve">https://doi.org/10.1093/ser/mwad033</w:t>
        </w:r>
      </w:hyperlink>
      <w:r>
        <w:t xml:space="preserve">. doi:</w:t>
      </w:r>
      <w:hyperlink r:id="rId106">
        <w:r>
          <w:rPr>
            <w:rStyle w:val="Hyperlink"/>
          </w:rPr>
          <w:t xml:space="preserve">10.1093/ser/mwad033</w:t>
        </w:r>
      </w:hyperlink>
    </w:p>
    <w:bookmarkEnd w:id="107"/>
    <w:bookmarkStart w:id="109"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108">
        <w:r>
          <w:rPr>
            <w:rStyle w:val="Hyperlink"/>
          </w:rPr>
          <w:t xml:space="preserve">https://doi.org/10.1177/00031224251319001</w:t>
        </w:r>
      </w:hyperlink>
      <w:r>
        <w:t xml:space="preserve">. doi:</w:t>
      </w:r>
      <w:hyperlink r:id="rId108">
        <w:r>
          <w:rPr>
            <w:rStyle w:val="Hyperlink"/>
          </w:rPr>
          <w:t xml:space="preserve">10.1177/00031224251319001</w:t>
        </w:r>
      </w:hyperlink>
    </w:p>
    <w:bookmarkEnd w:id="109"/>
    <w:bookmarkStart w:id="112"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110">
        <w:r>
          <w:rPr>
            <w:rStyle w:val="Hyperlink"/>
          </w:rPr>
          <w:t xml:space="preserve">https://pubs.aeaweb.org/doi/10.1257/aer.20190553</w:t>
        </w:r>
      </w:hyperlink>
      <w:r>
        <w:t xml:space="preserve">. doi:</w:t>
      </w:r>
      <w:hyperlink r:id="rId111">
        <w:r>
          <w:rPr>
            <w:rStyle w:val="Hyperlink"/>
          </w:rPr>
          <w:t xml:space="preserve">10.1257/aer.20190553</w:t>
        </w:r>
      </w:hyperlink>
    </w:p>
    <w:bookmarkEnd w:id="112"/>
    <w:bookmarkStart w:id="115"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113">
        <w:r>
          <w:rPr>
            <w:rStyle w:val="Hyperlink"/>
          </w:rPr>
          <w:t xml:space="preserve">https://www-journals-uchicago-edu.turing.library.northwestern.edu/doi/full/10.1086/724835</w:t>
        </w:r>
      </w:hyperlink>
      <w:r>
        <w:t xml:space="preserve">. doi:</w:t>
      </w:r>
      <w:hyperlink r:id="rId114">
        <w:r>
          <w:rPr>
            <w:rStyle w:val="Hyperlink"/>
          </w:rPr>
          <w:t xml:space="preserve">https://doi.org/10.1086/724835</w:t>
        </w:r>
      </w:hyperlink>
    </w:p>
    <w:bookmarkEnd w:id="115"/>
    <w:bookmarkStart w:id="117"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16">
        <w:r>
          <w:rPr>
            <w:rStyle w:val="Hyperlink"/>
          </w:rPr>
          <w:t xml:space="preserve">10.1007/s13524-019-00772-8</w:t>
        </w:r>
      </w:hyperlink>
    </w:p>
    <w:bookmarkEnd w:id="117"/>
    <w:bookmarkStart w:id="118"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18"/>
    <w:bookmarkStart w:id="120"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19">
        <w:r>
          <w:rPr>
            <w:rStyle w:val="Hyperlink"/>
          </w:rPr>
          <w:t xml:space="preserve">10.1177/0003122417695791</w:t>
        </w:r>
      </w:hyperlink>
    </w:p>
    <w:bookmarkEnd w:id="120"/>
    <w:bookmarkStart w:id="121"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21"/>
    <w:bookmarkStart w:id="123"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22">
        <w:r>
          <w:rPr>
            <w:rStyle w:val="Hyperlink"/>
          </w:rPr>
          <w:t xml:space="preserve">10.3233/JEM-160421</w:t>
        </w:r>
      </w:hyperlink>
    </w:p>
    <w:bookmarkEnd w:id="123"/>
    <w:bookmarkStart w:id="124" w:name="ref-pfeffer_determinants_2017"/>
    <w:p>
      <w:pPr>
        <w:pStyle w:val="Bibliography"/>
      </w:pPr>
      <w:r>
        <w:t xml:space="preserve">[20]</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24"/>
    <w:bookmarkStart w:id="127" w:name="ref-corak_income_2013"/>
    <w:p>
      <w:pPr>
        <w:pStyle w:val="Bibliography"/>
      </w:pPr>
      <w:r>
        <w:t xml:space="preserve">[21]</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25">
        <w:r>
          <w:rPr>
            <w:rStyle w:val="Hyperlink"/>
          </w:rPr>
          <w:t xml:space="preserve">https://www.aeaweb.org/articles?id=10.1257/jep.27.3.79</w:t>
        </w:r>
      </w:hyperlink>
      <w:r>
        <w:t xml:space="preserve">. doi:</w:t>
      </w:r>
      <w:hyperlink r:id="rId126">
        <w:r>
          <w:rPr>
            <w:rStyle w:val="Hyperlink"/>
          </w:rPr>
          <w:t xml:space="preserve">10.1257/jep.27.3.79</w:t>
        </w:r>
      </w:hyperlink>
    </w:p>
    <w:bookmarkEnd w:id="127"/>
    <w:bookmarkStart w:id="129" w:name="ref-ermisch_parents_2012"/>
    <w:p>
      <w:pPr>
        <w:pStyle w:val="Bibliography"/>
      </w:pPr>
      <w:r>
        <w:t xml:space="preserve">[22]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28">
        <w:r>
          <w:rPr>
            <w:rStyle w:val="Hyperlink"/>
          </w:rPr>
          <w:t xml:space="preserve">https://www.jstor.org/stable/10.7758/9781610447805</w:t>
        </w:r>
      </w:hyperlink>
    </w:p>
    <w:bookmarkEnd w:id="129"/>
    <w:bookmarkStart w:id="131" w:name="ref-jerrim_income_2015"/>
    <w:p>
      <w:pPr>
        <w:pStyle w:val="Bibliography"/>
      </w:pPr>
      <w:r>
        <w:t xml:space="preserve">[23]</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30">
        <w:r>
          <w:rPr>
            <w:rStyle w:val="Hyperlink"/>
          </w:rPr>
          <w:t xml:space="preserve">10.1093/sf/sov075</w:t>
        </w:r>
      </w:hyperlink>
    </w:p>
    <w:bookmarkEnd w:id="131"/>
    <w:bookmarkStart w:id="134" w:name="ref-si_multiple_2021"/>
    <w:p>
      <w:pPr>
        <w:pStyle w:val="Bibliography"/>
      </w:pPr>
      <w:r>
        <w:t xml:space="preserve">[24]</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32">
        <w:r>
          <w:rPr>
            <w:rStyle w:val="Hyperlink"/>
          </w:rPr>
          <w:t xml:space="preserve">https://www.ncbi.nlm.nih.gov/pmc/articles/PMC9874997/</w:t>
        </w:r>
      </w:hyperlink>
      <w:r>
        <w:t xml:space="preserve">. doi:</w:t>
      </w:r>
      <w:hyperlink r:id="rId133">
        <w:r>
          <w:rPr>
            <w:rStyle w:val="Hyperlink"/>
          </w:rPr>
          <w:t xml:space="preserve">10.1093/jssam/smab038</w:t>
        </w:r>
      </w:hyperlink>
    </w:p>
    <w:bookmarkEnd w:id="134"/>
    <w:bookmarkStart w:id="135" w:name="ref-sayer_women_2004"/>
    <w:p>
      <w:pPr>
        <w:pStyle w:val="Bibliography"/>
      </w:pPr>
      <w:r>
        <w:t xml:space="preserve">[25]</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35"/>
    <w:bookmarkStart w:id="138" w:name="ref-de_maio_income_2007"/>
    <w:p>
      <w:pPr>
        <w:pStyle w:val="Bibliography"/>
      </w:pPr>
      <w:r>
        <w:t xml:space="preserve">[26]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36">
        <w:r>
          <w:rPr>
            <w:rStyle w:val="Hyperlink"/>
          </w:rPr>
          <w:t xml:space="preserve">https://www.ncbi.nlm.nih.gov/pmc/articles/PMC2652960/</w:t>
        </w:r>
      </w:hyperlink>
      <w:r>
        <w:t xml:space="preserve">. doi:</w:t>
      </w:r>
      <w:hyperlink r:id="rId137">
        <w:r>
          <w:rPr>
            <w:rStyle w:val="Hyperlink"/>
          </w:rPr>
          <w:t xml:space="preserve">10.1136/jech.2006.052969</w:t>
        </w:r>
      </w:hyperlink>
    </w:p>
    <w:bookmarkEnd w:id="138"/>
    <w:bookmarkStart w:id="141" w:name="ref-kawachi_relationship_1997"/>
    <w:p>
      <w:pPr>
        <w:pStyle w:val="Bibliography"/>
      </w:pPr>
      <w:r>
        <w:t xml:space="preserve">[27]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39">
        <w:r>
          <w:rPr>
            <w:rStyle w:val="Hyperlink"/>
          </w:rPr>
          <w:t xml:space="preserve">https://www.sciencedirect.com/science/article/pii/S0277953697000440</w:t>
        </w:r>
      </w:hyperlink>
      <w:r>
        <w:t xml:space="preserve">. doi:</w:t>
      </w:r>
      <w:hyperlink r:id="rId140">
        <w:r>
          <w:rPr>
            <w:rStyle w:val="Hyperlink"/>
          </w:rPr>
          <w:t xml:space="preserve">10.1016/S0277-9536(97)00044-0</w:t>
        </w:r>
      </w:hyperlink>
    </w:p>
    <w:bookmarkEnd w:id="141"/>
    <w:bookmarkStart w:id="144" w:name="ref-aaberge_ginis_2007"/>
    <w:p>
      <w:pPr>
        <w:pStyle w:val="Bibliography"/>
      </w:pPr>
      <w:r>
        <w:t xml:space="preserve">[28]</w:t>
      </w:r>
      <w:r>
        <w:t xml:space="preserve"> </w:t>
      </w:r>
      <w:r>
        <w:t xml:space="preserve">	</w:t>
      </w:r>
      <w:r>
        <w:t xml:space="preserve">Aaberge R. Gini’s nuclear family. Journal of Economic Inequality. 2007 [accessed 2025 Dec 16];5(3):305–322.</w:t>
      </w:r>
      <w:r>
        <w:t xml:space="preserve"> </w:t>
      </w:r>
      <w:hyperlink r:id="rId142">
        <w:r>
          <w:rPr>
            <w:rStyle w:val="Hyperlink"/>
          </w:rPr>
          <w:t xml:space="preserve">https://research.ebsco.com/linkprocessor/plink?id=183a0f60-6b65-3238-9faf-59d099fff528</w:t>
        </w:r>
      </w:hyperlink>
      <w:r>
        <w:t xml:space="preserve">. doi:</w:t>
      </w:r>
      <w:hyperlink r:id="rId143">
        <w:r>
          <w:rPr>
            <w:rStyle w:val="Hyperlink"/>
          </w:rPr>
          <w:t xml:space="preserve">10.1007/s10888-006-9050-8</w:t>
        </w:r>
      </w:hyperlink>
    </w:p>
    <w:bookmarkEnd w:id="144"/>
    <w:bookmarkStart w:id="146" w:name="ref-noauthor_table_nodate"/>
    <w:p>
      <w:pPr>
        <w:pStyle w:val="Bibliography"/>
      </w:pPr>
      <w:r>
        <w:t xml:space="preserve">[29]</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45">
        <w:r>
          <w:rPr>
            <w:rStyle w:val="Hyperlink"/>
          </w:rPr>
          <w:t xml:space="preserve">https://www.census.gov/data/tables/time-series/demo/income-poverty/historical-income-inequality.html</w:t>
        </w:r>
      </w:hyperlink>
    </w:p>
    <w:bookmarkEnd w:id="146"/>
    <w:bookmarkStart w:id="147" w:name="ref-wolff_size_209"/>
    <w:p>
      <w:pPr>
        <w:pStyle w:val="Bibliography"/>
      </w:pPr>
      <w:r>
        <w:t xml:space="preserve">[30]</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47"/>
    <w:bookmarkStart w:id="149" w:name="ref-pfeffer_wealth_2013"/>
    <w:p>
      <w:pPr>
        <w:pStyle w:val="Bibliography"/>
      </w:pPr>
      <w:r>
        <w:t xml:space="preserve">[31]</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48">
        <w:r>
          <w:rPr>
            <w:rStyle w:val="Hyperlink"/>
          </w:rPr>
          <w:t xml:space="preserve">10.1177/0002716213497452</w:t>
        </w:r>
      </w:hyperlink>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43" Target="https://doi.org/10.1007/s10888-006-9050-8" TargetMode="External" /><Relationship Type="http://schemas.openxmlformats.org/officeDocument/2006/relationships/hyperlink" Id="rId104" Target="https://doi.org/10.1007/s13524-011-0014-7" TargetMode="External" /><Relationship Type="http://schemas.openxmlformats.org/officeDocument/2006/relationships/hyperlink" Id="rId102" Target="https://doi.org/10.1007/s13524-018-0719-y" TargetMode="External" /><Relationship Type="http://schemas.openxmlformats.org/officeDocument/2006/relationships/hyperlink" Id="rId116" Target="https://doi.org/10.1007/s13524-019-00772-8" TargetMode="External" /><Relationship Type="http://schemas.openxmlformats.org/officeDocument/2006/relationships/hyperlink" Id="rId140" Target="https://doi.org/10.1016/S0277-9536(97)00044-0" TargetMode="External" /><Relationship Type="http://schemas.openxmlformats.org/officeDocument/2006/relationships/hyperlink" Id="rId100" Target="https://doi.org/10.1037/11282-004" TargetMode="External" /><Relationship Type="http://schemas.openxmlformats.org/officeDocument/2006/relationships/hyperlink" Id="rId114" Target="https://doi.org/10.1086/724835" TargetMode="External" /><Relationship Type="http://schemas.openxmlformats.org/officeDocument/2006/relationships/hyperlink" Id="rId92" Target="https://doi.org/10.1086/728741" TargetMode="External" /><Relationship Type="http://schemas.openxmlformats.org/officeDocument/2006/relationships/hyperlink" Id="rId133" Target="https://doi.org/10.1093/jssam/smab038" TargetMode="External" /><Relationship Type="http://schemas.openxmlformats.org/officeDocument/2006/relationships/hyperlink" Id="rId97" Target="https://doi.org/10.1093/qje/qjw004" TargetMode="External" /><Relationship Type="http://schemas.openxmlformats.org/officeDocument/2006/relationships/hyperlink" Id="rId106" Target="https://doi.org/10.1093/ser/mwad033" TargetMode="External" /><Relationship Type="http://schemas.openxmlformats.org/officeDocument/2006/relationships/hyperlink" Id="rId130" Target="https://doi.org/10.1093/sf/sov075" TargetMode="External" /><Relationship Type="http://schemas.openxmlformats.org/officeDocument/2006/relationships/hyperlink" Id="rId137" Target="https://doi.org/10.1136/jech.2006.052969" TargetMode="External" /><Relationship Type="http://schemas.openxmlformats.org/officeDocument/2006/relationships/hyperlink" Id="rId95" Target="https://doi.org/10.1146/annurev-soc-060116-053331" TargetMode="External" /><Relationship Type="http://schemas.openxmlformats.org/officeDocument/2006/relationships/hyperlink" Id="rId148" Target="https://doi.org/10.1177/0002716213497452" TargetMode="External" /><Relationship Type="http://schemas.openxmlformats.org/officeDocument/2006/relationships/hyperlink" Id="rId119" Target="https://doi.org/10.1177/0003122417695791" TargetMode="External" /><Relationship Type="http://schemas.openxmlformats.org/officeDocument/2006/relationships/hyperlink" Id="rId108" Target="https://doi.org/10.1177/00031224251319001" TargetMode="External" /><Relationship Type="http://schemas.openxmlformats.org/officeDocument/2006/relationships/hyperlink" Id="rId111" Target="https://doi.org/10.1257/aer.20190553" TargetMode="External" /><Relationship Type="http://schemas.openxmlformats.org/officeDocument/2006/relationships/hyperlink" Id="rId126" Target="https://doi.org/10.1257/jep.27.3.79" TargetMode="External" /><Relationship Type="http://schemas.openxmlformats.org/officeDocument/2006/relationships/hyperlink" Id="rId122" Target="https://doi.org/10.3233/JEM-160421" TargetMode="External" /><Relationship Type="http://schemas.openxmlformats.org/officeDocument/2006/relationships/hyperlink" Id="rId89" Target="https://doi.org/10.3386/w33823" TargetMode="External" /><Relationship Type="http://schemas.openxmlformats.org/officeDocument/2006/relationships/hyperlink" Id="rId84" Target="https://fred.stlouisfed.org/series/SIPOVGINIUSA" TargetMode="External" /><Relationship Type="http://schemas.openxmlformats.org/officeDocument/2006/relationships/hyperlink" Id="rId110" Target="https://pubs.aeaweb.org/doi/10.1257/aer.20190553" TargetMode="External" /><Relationship Type="http://schemas.openxmlformats.org/officeDocument/2006/relationships/hyperlink" Id="rId142" Target="https://research.ebsco.com/linkprocessor/plink?id=183a0f60-6b65-3238-9faf-59d099fff528" TargetMode="External" /><Relationship Type="http://schemas.openxmlformats.org/officeDocument/2006/relationships/hyperlink" Id="rId113" Target="https://www-journals-uchicago-edu.turing.library.northwestern.edu/doi/full/10.1086/724835" TargetMode="External" /><Relationship Type="http://schemas.openxmlformats.org/officeDocument/2006/relationships/hyperlink" Id="rId125" Target="https://www.aeaweb.org/articles?id=10.1257/jep.27.3.79" TargetMode="External" /><Relationship Type="http://schemas.openxmlformats.org/officeDocument/2006/relationships/hyperlink" Id="rId94" Target="https://www.annualreviews.org/doi/10.1146/annurev-soc-060116-053331" TargetMode="External" /><Relationship Type="http://schemas.openxmlformats.org/officeDocument/2006/relationships/hyperlink" Id="rId86" Target="https://www.bakerinstitute.org/research/decline-us-wealth-and-income-inequality" TargetMode="External" /><Relationship Type="http://schemas.openxmlformats.org/officeDocument/2006/relationships/hyperlink" Id="rId145" Target="https://www.census.gov/data/tables/time-series/demo/income-poverty/historical-income-inequality.html" TargetMode="External" /><Relationship Type="http://schemas.openxmlformats.org/officeDocument/2006/relationships/hyperlink" Id="rId91" Target="https://www.journals.uchicago.edu/doi/10.1086/728741" TargetMode="External" /><Relationship Type="http://schemas.openxmlformats.org/officeDocument/2006/relationships/hyperlink" Id="rId128" Target="https://www.jstor.org/stable/10.7758/9781610447805" TargetMode="External" /><Relationship Type="http://schemas.openxmlformats.org/officeDocument/2006/relationships/hyperlink" Id="rId88" Target="https://www.nber.org/papers/w33823" TargetMode="External" /><Relationship Type="http://schemas.openxmlformats.org/officeDocument/2006/relationships/hyperlink" Id="rId136" Target="https://www.ncbi.nlm.nih.gov/pmc/articles/PMC2652960/" TargetMode="External" /><Relationship Type="http://schemas.openxmlformats.org/officeDocument/2006/relationships/hyperlink" Id="rId132" Target="https://www.ncbi.nlm.nih.gov/pmc/articles/PMC9874997/" TargetMode="External" /><Relationship Type="http://schemas.openxmlformats.org/officeDocument/2006/relationships/hyperlink" Id="rId139" Target="https://www.sciencedirect.com/science/article/pii/S0277953697000440"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7/s10888-006-9050-8" TargetMode="External" /><Relationship Type="http://schemas.openxmlformats.org/officeDocument/2006/relationships/hyperlink" Id="rId104" Target="https://doi.org/10.1007/s13524-011-0014-7" TargetMode="External" /><Relationship Type="http://schemas.openxmlformats.org/officeDocument/2006/relationships/hyperlink" Id="rId102" Target="https://doi.org/10.1007/s13524-018-0719-y" TargetMode="External" /><Relationship Type="http://schemas.openxmlformats.org/officeDocument/2006/relationships/hyperlink" Id="rId116" Target="https://doi.org/10.1007/s13524-019-00772-8" TargetMode="External" /><Relationship Type="http://schemas.openxmlformats.org/officeDocument/2006/relationships/hyperlink" Id="rId140" Target="https://doi.org/10.1016/S0277-9536(97)00044-0" TargetMode="External" /><Relationship Type="http://schemas.openxmlformats.org/officeDocument/2006/relationships/hyperlink" Id="rId100" Target="https://doi.org/10.1037/11282-004" TargetMode="External" /><Relationship Type="http://schemas.openxmlformats.org/officeDocument/2006/relationships/hyperlink" Id="rId114" Target="https://doi.org/10.1086/724835" TargetMode="External" /><Relationship Type="http://schemas.openxmlformats.org/officeDocument/2006/relationships/hyperlink" Id="rId92" Target="https://doi.org/10.1086/728741" TargetMode="External" /><Relationship Type="http://schemas.openxmlformats.org/officeDocument/2006/relationships/hyperlink" Id="rId133" Target="https://doi.org/10.1093/jssam/smab038" TargetMode="External" /><Relationship Type="http://schemas.openxmlformats.org/officeDocument/2006/relationships/hyperlink" Id="rId97" Target="https://doi.org/10.1093/qje/qjw004" TargetMode="External" /><Relationship Type="http://schemas.openxmlformats.org/officeDocument/2006/relationships/hyperlink" Id="rId106" Target="https://doi.org/10.1093/ser/mwad033" TargetMode="External" /><Relationship Type="http://schemas.openxmlformats.org/officeDocument/2006/relationships/hyperlink" Id="rId130" Target="https://doi.org/10.1093/sf/sov075" TargetMode="External" /><Relationship Type="http://schemas.openxmlformats.org/officeDocument/2006/relationships/hyperlink" Id="rId137" Target="https://doi.org/10.1136/jech.2006.052969" TargetMode="External" /><Relationship Type="http://schemas.openxmlformats.org/officeDocument/2006/relationships/hyperlink" Id="rId95" Target="https://doi.org/10.1146/annurev-soc-060116-053331" TargetMode="External" /><Relationship Type="http://schemas.openxmlformats.org/officeDocument/2006/relationships/hyperlink" Id="rId148" Target="https://doi.org/10.1177/0002716213497452" TargetMode="External" /><Relationship Type="http://schemas.openxmlformats.org/officeDocument/2006/relationships/hyperlink" Id="rId119" Target="https://doi.org/10.1177/0003122417695791" TargetMode="External" /><Relationship Type="http://schemas.openxmlformats.org/officeDocument/2006/relationships/hyperlink" Id="rId108" Target="https://doi.org/10.1177/00031224251319001" TargetMode="External" /><Relationship Type="http://schemas.openxmlformats.org/officeDocument/2006/relationships/hyperlink" Id="rId111" Target="https://doi.org/10.1257/aer.20190553" TargetMode="External" /><Relationship Type="http://schemas.openxmlformats.org/officeDocument/2006/relationships/hyperlink" Id="rId126" Target="https://doi.org/10.1257/jep.27.3.79" TargetMode="External" /><Relationship Type="http://schemas.openxmlformats.org/officeDocument/2006/relationships/hyperlink" Id="rId122" Target="https://doi.org/10.3233/JEM-160421" TargetMode="External" /><Relationship Type="http://schemas.openxmlformats.org/officeDocument/2006/relationships/hyperlink" Id="rId89" Target="https://doi.org/10.3386/w33823" TargetMode="External" /><Relationship Type="http://schemas.openxmlformats.org/officeDocument/2006/relationships/hyperlink" Id="rId84" Target="https://fred.stlouisfed.org/series/SIPOVGINIUSA" TargetMode="External" /><Relationship Type="http://schemas.openxmlformats.org/officeDocument/2006/relationships/hyperlink" Id="rId110" Target="https://pubs.aeaweb.org/doi/10.1257/aer.20190553" TargetMode="External" /><Relationship Type="http://schemas.openxmlformats.org/officeDocument/2006/relationships/hyperlink" Id="rId142" Target="https://research.ebsco.com/linkprocessor/plink?id=183a0f60-6b65-3238-9faf-59d099fff528" TargetMode="External" /><Relationship Type="http://schemas.openxmlformats.org/officeDocument/2006/relationships/hyperlink" Id="rId113" Target="https://www-journals-uchicago-edu.turing.library.northwestern.edu/doi/full/10.1086/724835" TargetMode="External" /><Relationship Type="http://schemas.openxmlformats.org/officeDocument/2006/relationships/hyperlink" Id="rId125" Target="https://www.aeaweb.org/articles?id=10.1257/jep.27.3.79" TargetMode="External" /><Relationship Type="http://schemas.openxmlformats.org/officeDocument/2006/relationships/hyperlink" Id="rId94" Target="https://www.annualreviews.org/doi/10.1146/annurev-soc-060116-053331" TargetMode="External" /><Relationship Type="http://schemas.openxmlformats.org/officeDocument/2006/relationships/hyperlink" Id="rId86" Target="https://www.bakerinstitute.org/research/decline-us-wealth-and-income-inequality" TargetMode="External" /><Relationship Type="http://schemas.openxmlformats.org/officeDocument/2006/relationships/hyperlink" Id="rId145" Target="https://www.census.gov/data/tables/time-series/demo/income-poverty/historical-income-inequality.html" TargetMode="External" /><Relationship Type="http://schemas.openxmlformats.org/officeDocument/2006/relationships/hyperlink" Id="rId91" Target="https://www.journals.uchicago.edu/doi/10.1086/728741" TargetMode="External" /><Relationship Type="http://schemas.openxmlformats.org/officeDocument/2006/relationships/hyperlink" Id="rId128" Target="https://www.jstor.org/stable/10.7758/9781610447805" TargetMode="External" /><Relationship Type="http://schemas.openxmlformats.org/officeDocument/2006/relationships/hyperlink" Id="rId88" Target="https://www.nber.org/papers/w33823" TargetMode="External" /><Relationship Type="http://schemas.openxmlformats.org/officeDocument/2006/relationships/hyperlink" Id="rId136" Target="https://www.ncbi.nlm.nih.gov/pmc/articles/PMC2652960/" TargetMode="External" /><Relationship Type="http://schemas.openxmlformats.org/officeDocument/2006/relationships/hyperlink" Id="rId132" Target="https://www.ncbi.nlm.nih.gov/pmc/articles/PMC9874997/" TargetMode="External" /><Relationship Type="http://schemas.openxmlformats.org/officeDocument/2006/relationships/hyperlink" Id="rId139" Target="https://www.sciencedirect.com/science/article/pii/S02779536970004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Author Name(s)</dc:creator>
  <cp:keywords>put keywords here</cp:keywords>
  <dcterms:created xsi:type="dcterms:W3CDTF">2026-03-05T18:08:00Z</dcterms:created>
  <dcterms:modified xsi:type="dcterms:W3CDTF">2026-03-05T18:08:00Z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March 05,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