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Differences in Inequality by Race</w:t>
      </w:r>
    </w:p>
    <w:tbl xmlns:a="http://schemas.openxmlformats.org/drawingml/2006/main" xmlns:pic="http://schemas.openxmlformats.org/drawingml/2006/picture">
      <w:tblPr>
        <w:tblLayout w:type="fixed"/>
        <w:jc w:val="center"/>
        <w:tblLook w:firstRow="1" w:lastRow="0" w:firstColumn="0" w:lastColumn="0" w:noHBand="0" w:noVBand="1"/>
      </w:tblPr>
      <w:tblGrid>
        <w:gridCol w:w="1384"/>
        <w:gridCol w:w="1539"/>
        <w:gridCol w:w="1771"/>
        <w:gridCol w:w="1744"/>
        <w:gridCol w:w="2011"/>
        <w:gridCol w:w="2318"/>
        <w:gridCol w:w="2291"/>
      </w:tblGrid>
      <w:tr>
        <w:trPr>
          <w:trHeight w:val="63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(Non-Black)</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0.444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0.376</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0.878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0.740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0.138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0.833</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0.709</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0.124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0.022)</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Income data were collected annually until 1997, and biennially thereafter. Wealth data were collected every five years from 1984 to 1999, and every other year thereafter. Both income and wealth are adjusted for inflation. Wealth is measured excluding home equity. Standard errors are shown in parentheses. Income estimates use 91,775 Black household-years and 22,213 Black clan-years, and 148,336 Non-Black household-years and 42,079 Non-Black clan-years, with 2,906 unique clans in total; 966 clans ever classified as Black and 2,003 clans ever classified as Non-Black, including 63 clans appearing in both groups across years. Wealth estimates use 46,059 Black household-years and 8,608 Black clan-years, and 74,813 Non-Black household-years and 18,047 Non-Black clan-years, with 2,636 unique clans in total; 827 clans ever classified as Black and 1,853 clans ever classified as Non-Black, including 44 clans appearing in both groups across years.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2026-01-26T14:09:53Z</dcterms:modified>
  <cp:category/>
</cp:coreProperties>
</file>