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14.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 Group Gini: An Extended Family Approach to Income and Wealth Inequality in the U.S.</w:t>
      </w:r>
    </w:p>
    <w:p>
      <w:pPr>
        <w:pStyle w:val="Author"/>
      </w:pPr>
      <w:r>
        <w:t xml:space="preserve">Doron Shiffer-Sebba, Amanda Buechele, Julia A. Behrman, Limor Gabay Egozi</w:t>
      </w:r>
    </w:p>
    <w:p>
      <w:pPr>
        <w:pStyle w:val="Date"/>
      </w:pPr>
      <w:r>
        <w:t xml:space="preserve">May 28, 2026</w:t>
      </w:r>
    </w:p>
    <w:bookmarkStart w:id="9" w:name="abstract"/>
    <w:p>
      <w:pPr>
        <w:pStyle w:val="Heading1"/>
      </w:pPr>
      <w:r>
        <w:t xml:space="preserve">Abstract</w:t>
      </w:r>
    </w:p>
    <w:p>
      <w:pPr>
        <w:pStyle w:val="FirstParagraph"/>
      </w:pPr>
      <w:r>
        <w:t xml:space="preserve">Most macro-level studies of inequality treat the household as the primary unit of analysis, focusing on disparities between households. As a result, despite increasing acknowledgement of the importance of extended family ties, far less is known about inequality between extended families. We examine income and wealth inequality in the United States using both households and intergenerational extended families—hereafter referred to as “kin groups”. Using data from the Panel Study of Income Dynamics (PSID), we calculate Gini coefficients for income and wealth at the household and kin group levels from 1969 to 2023. We find that income and wealth inequality are high at both levels, with inequality 20-30 percent lower when measured at the kin group level than at the household level. Over time, wealth inequality has increased at similar rates across both units, whereas income inequality has grown more rapidly at the kin group level. Comparing Lorenz curves from 1984 and 2023, we show that wealth inequality varied more across units of analysis (households vs. kin groups) than over time, whereas income inequality varied more over time than across units. Finally, the median racial wealth gap between Black and non-Black kin groups is ten percentage points lower than the analogous gap between Black and non-Black households. These findings underscore the importance of considering both extended families and households 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between households, leaving inequality between extended families largely unexplored. Using more than five decades of data from the Panel Study of Income Dynamics, we show that income and wealth inequality between intergenerational extended families are between 20-30 percent lower than inequality between households, a finding that holds across all survey years. However, income inequality between extended families has increased more rapidly than household income inequality over time. Together, these findings demonstrate the importance of considering both extended families and households when exploring contemporary patterns of inequality.</w:t>
      </w:r>
    </w:p>
    <w:bookmarkEnd w:id="10"/>
    <w:bookmarkStart w:id="13"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 and other important measures of inequality, like the racial wealth gap, are typically calculated at the household level</w:t>
      </w:r>
      <w:r>
        <w:t xml:space="preserve">[4, 5]</w:t>
      </w:r>
      <w:r>
        <w:t xml:space="preserve">. As a result, research on inequality tends to focus on differences between households</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w:t>
      </w:r>
      <w:r>
        <w:t xml:space="preserve"> </w:t>
      </w:r>
      <w:r>
        <w:t xml:space="preserve">[13]</w:t>
      </w:r>
      <w:r>
        <w:t xml:space="preserve">. Scholars show that individual extended family members such as grandparents, aunts, uncles, and cousins transfer resources to individuals that impact their socioeconomic status</w:t>
      </w:r>
      <w:r>
        <w:t xml:space="preserve"> </w:t>
      </w:r>
      <w:r>
        <w:t xml:space="preserve">[14–16]</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that calculate the Gini coefficient or estimate the racial wealth gap—continue to treat households, or occasionally individuals, as the primary unit of analysis. Consequently, scholars have documented patterns of inequality between households, but know little about inequality between extended families.</w:t>
      </w:r>
    </w:p>
    <w:p>
      <w:pPr>
        <w:pStyle w:val="BodyText"/>
      </w:pPr>
      <w:r>
        <w:t xml:space="preserve">Drawing on scholarship showing the importance of extended families, we ask: what does income and wealth inequality in the U.S. look like when examining intergenerational extended families—what we refer to as “ kin groups”. To ease interpretation, we compare kin group estimates to the dominant unit of analysis, households.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kin groups include all descendants linked to an original household through a family identifier. In practice, this means that kin groups are comprised of households linked by birth, marriage, and adoption spanning multiple generations and extended kin ties (grandparents, aunts, uncles, and cousins and in some cases great-grandparents, great-uncles, second cousins, and so on).</w:t>
      </w:r>
      <w:r>
        <w:rPr>
          <w:rStyle w:val="FootnoteReference"/>
        </w:rPr>
        <w:footnoteReference w:id="12"/>
      </w:r>
    </w:p>
    <w:p>
      <w:pPr>
        <w:pStyle w:val="BodyText"/>
      </w:pPr>
      <w:r>
        <w:t xml:space="preserve">We calculate household and kin-group Gini coefficients for both income and wealth, as well as the racial wealth gap, using all available PSID years up to 2023. Conceptually, the Gini can be understood as the average difference between any two units in a population. Arithmetically, it is the average absolute difference between all pairs of observations, normalized by the mean. Scholars have also documented a persistent racial wealth gap between Black and non-Black households</w:t>
      </w:r>
      <w:r>
        <w:t xml:space="preserve"> </w:t>
      </w:r>
      <w:r>
        <w:t xml:space="preserve">[5, 17]</w:t>
      </w:r>
      <w:r>
        <w:t xml:space="preserve"> </w:t>
      </w:r>
      <w:r>
        <w:t xml:space="preserve">that is not captured by the Gini coefficient. Other work highlights the unique role of kinship networks in shaping economic outcomes by race</w:t>
      </w:r>
      <w:r>
        <w:t xml:space="preserve"> </w:t>
      </w:r>
      <w:r>
        <w:t xml:space="preserve">[18, 19]</w:t>
      </w:r>
      <w:r>
        <w:t xml:space="preserve">. Because aggregate inequality measures can obscure these group-based differences, we supplement household and kin group Gini coefficients with ratios of average wealth by race</w:t>
      </w:r>
      <w:r>
        <w:t xml:space="preserve"> </w:t>
      </w:r>
      <w:r>
        <w:t xml:space="preserve">[17, 20, 21]</w:t>
      </w:r>
      <w:r>
        <w:t xml:space="preserve">, the most common measurement for the racial wealth gap in the United States. Similarly to the Gini, we compare median wealth ratios that rely on household-level values with those that rely on kin group-level values.</w:t>
      </w:r>
    </w:p>
    <w:p>
      <w:pPr>
        <w:pStyle w:val="BodyText"/>
      </w:pPr>
      <w:r>
        <w:t xml:space="preserve">Using kin groups as the unit of analysis requires aggregating households into kin groups. If households were hypothetically distributed into kin groups at random with respect to their economic attributes, inequality between kin groups could be low even in the context of high between-household inequality. If between-household correlation of economic attributes were high within kin groups, inequality between kin groups would be higher. One may think that aggregating households smooths variation and will inherently lead to a lower Gini coefficient, representing less inequality, between kin groups. However, this is not the case. Using simulated data, Appendix Table A shows that it is possible to obtain kin group-level Gini coefficients equal to or even higher than household-level Gini coefficients. The direction and degree of change in the Gini coefficient from the household to the kin group level depends on the relationship between the distribution of resources between households, kin group size, and the selection of households into kin groups.</w:t>
      </w:r>
    </w:p>
    <w:p>
      <w:pPr>
        <w:pStyle w:val="BodyText"/>
      </w:pPr>
      <w:r>
        <w:t xml:space="preserve">The relationship between households and kin groups can be understood as an extension of a similar dynamic in inequality research :the relationship between individuals and households. Individuals tend to form households with others who have similar socioeconomic characteristics through marital homogamy</w:t>
      </w:r>
      <w:r>
        <w:t xml:space="preserve"> </w:t>
      </w:r>
      <w:r>
        <w:t xml:space="preserve">[22]</w:t>
      </w:r>
      <w:r>
        <w:t xml:space="preserve">. Resources are thus concentrated within households, increasing disparities between them. If analogous mechanisms sort households into kin groups, kin groups may represent an important—and underexamined—unit for understanding the concentration of economic resources.</w:t>
      </w:r>
    </w:p>
    <w:bookmarkEnd w:id="13"/>
    <w:bookmarkStart w:id="23"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kin groups over time. Reflecting data availability in the PSID, Panel A plots income Gini coefficients from 1969 to 2023 and Panel B plots wealth Gini coefficients from 1984 to 2023. Figure 1 shows that inequality is substantial under both measurement approaches. Yet the level of inequality depends on the unit of analysis. Wealth and income Ginis measured at the kin group level are roughly 70%-80% the levels of their respective Ginis measured at the household level, a pattern that holds over the study period. The average income Gini coefficient is 0.43 at the household level versus 0.31 at the kin group level. For wealth, the average Gini coefficient is 0.82 at the household level versus 0.66 at the kin group level.</w:t>
      </w:r>
    </w:p>
    <w:p>
      <w:pPr>
        <w:pStyle w:val="BodyText"/>
      </w:pPr>
      <w:r>
        <w:t xml:space="preserve">Plotting Gini coefficients over time helps contextualize contemporary inequality by placing kin group estimates alongside historical household benchmarks. For example, the most recent income Gini measured at the kin group level is only slightly lower than the household-level income Gini in the early 1970s. Inequality is higher today than in the 1970s at both levels, but because household inequality in the 1970s—at roughly 80% of current levels—has long been considered substantively important, today’s kin group inequality should be viewed as similarly consequential. Wealth Ginis tell a related but distinct story. While kin group wealth inequality represents a large share of household-level inequality, it has not approached the historically observed levels of household wealth inequality over the period we examine.</w:t>
      </w:r>
    </w:p>
    <w:p>
      <w:pPr>
        <w:pStyle w:val="BodyText"/>
      </w:pPr>
      <w:r>
        <w:drawing>
          <wp:inline>
            <wp:extent cx="5334000" cy="4191000"/>
            <wp:effectExtent b="0" l="0" r="0" t="0"/>
            <wp:docPr descr="" title="" id="15" name="Picture"/>
            <a:graphic>
              <a:graphicData uri="http://schemas.openxmlformats.org/drawingml/2006/picture">
                <pic:pic>
                  <pic:nvPicPr>
                    <pic:cNvPr descr="/Users/amanda/Desktop/clan_project/10_draft/output/write_files/figure-docx/figure1-1.png" id="16" name="Picture"/>
                    <pic:cNvPicPr>
                      <a:picLocks noChangeArrowheads="1" noChangeAspect="1"/>
                    </pic:cNvPicPr>
                  </pic:nvPicPr>
                  <pic:blipFill>
                    <a:blip r:embed="rId14"/>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(kin groups). Weighted mean wealth: $490,457 (households), $1,884,939 (kin groups; includes home equity). Income Ginis changed by 16.0% for households (0.41 in 1969 to 0.48 in 2023) and by 20.6% for kin groups (0.30 to 0.36). Wealth Ginis changed by 4.5% for households (0.78 in 1984 to 0.81 in 2023) and by 4.4% for kin groups (0.61 to 0.64). On average across all years, the income Gini is 0.123 higher for households than kin groups; the wealth Gini is 0.160 higher.</w:t>
      </w:r>
      <w:r>
        <w:rPr>
          <w:i/>
          <w:iCs/>
        </w:rPr>
        <w:t xml:space="preserve"> </w:t>
      </w:r>
    </w:p>
    <w:p>
      <w:pPr>
        <w:pStyle w:val="BodyText"/>
      </w:pPr>
      <w:r>
        <w:t xml:space="preserve">We find inequality is higher for wealth than for income at both kin group and household levels. This finding is consistent with prior research showing how wealth accumulates over time and generations, retaining the imprint of earlier opportunities and constraints in a way that income does not</w:t>
      </w:r>
      <w:r>
        <w:t xml:space="preserve"> </w:t>
      </w:r>
      <w:r>
        <w:t xml:space="preserve">[5, 23]</w:t>
      </w:r>
      <w:r>
        <w:t xml:space="preserve">. As such, wealth reflects long-run inequality and intergenerationally accumulated advantages and disadvantages.</w:t>
      </w:r>
    </w:p>
    <w:p>
      <w:pPr>
        <w:pStyle w:val="BodyText"/>
      </w:pPr>
      <w:r>
        <w:t xml:space="preserve">Change over time in household and kin group-level income inequality differ. At the household level, income inequality rose by 16.0% from 0.41 in 1969 to 0.48 in 2023. At the kin group level, income inequality rose more sharply – by 20.6% - from 0.30 to 0.36 over the same period. Thus, while income inequality increased at both levels, the growth was faster when measured at the kin group level.</w:t>
      </w:r>
    </w:p>
    <w:p>
      <w:pPr>
        <w:pStyle w:val="BodyText"/>
      </w:pPr>
      <w:r>
        <w:t xml:space="preserve">Unlike income inequality, the difference between household and kin group wealth inequality has remained remarkably consistent. The household wealth Gini has increased only slightly from 0.78 in 1984 to 0.81 in 2023, a 4.5% increase. At the kin group level, it rose from 0.61 to 0.64 over the same period, which also constitutes a 4.4% increase. Importantly, these trends reflect inequality within a population that excludes the very top of the wealth distribution. The PSID does not adequately sample the wealthiest individuals, who drive much of the inequality in wealth</w:t>
      </w:r>
      <w:r>
        <w:t xml:space="preserve"> </w:t>
      </w:r>
      <w:r>
        <w:t xml:space="preserve">[24, 25]</w:t>
      </w:r>
      <w:r>
        <w:t xml:space="preserve">. Therefore, these patterns indicate stable wealth inequality, for both households and kin groups, among the bottom 95%.</w:t>
      </w:r>
    </w:p>
    <w:p>
      <w:pPr>
        <w:pStyle w:val="BodyText"/>
      </w:pPr>
      <w:r>
        <w:rPr>
          <w:b/>
          <w:bCs/>
        </w:rPr>
        <w:t xml:space="preserve">Lorenz curves for 1984 and 2023.</w:t>
      </w:r>
      <w:r>
        <w:t xml:space="preserve"> </w:t>
      </w:r>
      <w:r>
        <w:t xml:space="preserve">Figure 2 illustrates differences in income and wealth inequality estimates using Lorenz curves–which are often used to depict Gini coefficients at a single point in time – in 1984 (blue) and 2023 (orange). Lorenz curves plot the cumulative share of income or wealth against the cumulative share of the population—whether defined as households or kin groups. Perfect equality appears as a 45° line where income or wealth is distributed evenly; greater inequality pulls the curve farther below this line. The Gini summarizes this deviation from perfect equality. Comparing household- and kin group-level Ginis at two points contextualizes differences by unit by juxtaposing them with how the two measures of inequality have shifted over the years.</w:t>
      </w:r>
    </w:p>
    <w:p>
      <w:pPr>
        <w:pStyle w:val="BodyText"/>
      </w:pPr>
      <w:r>
        <w:t xml:space="preserve">These curves juxtapose two inequality trends: differences in how income and wealth inequality change over time, and differences in inequality across units of analysis. Panel A mirrors Figure 1 Panel A in showing that household inequality (solid) is consistently higher than kin group inequality (dotted), and that income inequality in 2023 (orange) was higher than income inequality in 1984. All curves lie below the 45-degree dashed line representing perfect equality, but the 2023 curves fall further from this line than the 1984 curves, and each household curve falls further from this line than its respective kin group curve. Panel B similarly mirrors Figure 1 Panel B. Wealth inequality has increased from 1984 to 2023 and is greater at the household level than the kin group level at each year. Figure 2 also mirrors Figure 1 by showing that wealth is more unequally distributed than income in both years, with Panel B curves falling further from the line of equality than Panel A curves.</w:t>
      </w:r>
    </w:p>
    <w:p>
      <w:pPr>
        <w:pStyle w:val="BodyText"/>
      </w:pPr>
      <w:r>
        <w:t xml:space="preserve">Comparing the two panels, however, reveals two additional key differences between income and wealth inequality. First, the gap between household (solid) and kin group (dotted) wealth curves (Panel B) is large and often exceeds the shift between 1984 (blue) and 2023 (orange) curves. This suggests that differences across units of analysis are more pronounced than changes over time for wealth. This,however, is not the case for income (Panel A). For income, gaps between household (solid) and kin group (dotted) curves appear smaller, and for the most part smaller than differences between 1984 (blue) and 2023 (orange) curves. Taken together, these findings indicate that wealth inequality varies more across units than over time, while income inequality varies more over time than across units.</w:t>
      </w:r>
    </w:p>
    <w:p>
      <w:pPr>
        <w:pStyle w:val="BodyText"/>
      </w:pPr>
      <w:r>
        <w:t xml:space="preserve">Second, the differences between inequality measured through the two units are driven by different parts of the distribution for income and wealth. In both 1984 and 2023, the kin group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kin group wealth inequality are driven by those at the middle of the wealth distribution, whereas the gap between household and kin group income inequality capture differences between units across the entire distribution—from those with the lowest incomes to those at the top of the income distribution captured by the PSID.</w:t>
      </w:r>
    </w:p>
    <w:p>
      <w:pPr>
        <w:pStyle w:val="BodyText"/>
      </w:pPr>
      <w:r>
        <w:drawing>
          <wp:inline>
            <wp:extent cx="5334000" cy="4191000"/>
            <wp:effectExtent b="0" l="0" r="0" t="0"/>
            <wp:docPr descr="" title="" id="18" name="Picture"/>
            <a:graphic>
              <a:graphicData uri="http://schemas.openxmlformats.org/drawingml/2006/picture">
                <pic:pic>
                  <pic:nvPicPr>
                    <pic:cNvPr descr="/Users/amanda/Desktop/clan_project/10_draft/output/write_files/figure-docx/figure2-1.png" id="19" name="Picture"/>
                    <pic:cNvPicPr>
                      <a:picLocks noChangeArrowheads="1" noChangeAspect="1"/>
                    </pic:cNvPicPr>
                  </pic:nvPicPr>
                  <pic:blipFill>
                    <a:blip r:embed="rId17"/>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kin group weights. Wealth includes home equity. Income in 1984: weighted mean (median) $27,647 ($22,520) for households, $85,338 ($71,914) for kin groups. Income in 2023: $297,591 ($196,196) for households, $1,487,913 ($1,059,244) for kin groups.</w:t>
      </w:r>
    </w:p>
    <w:p>
      <w:pPr>
        <w:pStyle w:val="BodyText"/>
      </w:pPr>
      <w:r>
        <w:rPr>
          <w:b/>
          <w:bCs/>
        </w:rPr>
        <w:t xml:space="preserve">The racial wealth gap at the household and kin group levels.</w:t>
      </w:r>
      <w:r>
        <w:t xml:space="preserve"> </w:t>
      </w:r>
      <w:r>
        <w:t xml:space="preserve">Figure 3 depicts the racial wealth gap using both households and kin groups. We report racial wealth gaps using medians to account for wealth’s right-skew</w:t>
      </w:r>
      <w:r>
        <w:t xml:space="preserve"> </w:t>
      </w:r>
      <w:r>
        <w:t xml:space="preserve">[5, 26, 27]</w:t>
      </w:r>
      <w:r>
        <w:t xml:space="preserve">. Specifically, we report the ratio of Black median wealth to non-Black median wealth, where a value of 1 indicates equal median wealth across racial categories. Values below 1 indicate that Black households or kin groups hold less wealth than their non-Black counterparts. Such values can also be interpreted as cents held by Black households or kin groups for every dollar held by non-Black households or kin groups.</w:t>
      </w:r>
    </w:p>
    <w:p>
      <w:pPr>
        <w:pStyle w:val="BodyText"/>
      </w:pPr>
      <w:r>
        <w:t xml:space="preserve">The gap is persistent and sizable regardless of the unit of analysis. The typical Black household holds 9 cents for every dollar of wealth held by the typical non-Black household across the survey period (ranging from 6 cents in 2011 to 12 cents in 1994). The typical Black kin group holds 20 cents for every dollar held by the typical non-Black kin group (ranging from 14 cents in 2013 to 24 cents in 1994). The ratio between Black and non-Black median wealth when measured at the kin group level is thus around ten percentage points lower than the equivalent ratio measured at the household level.</w:t>
      </w:r>
    </w:p>
    <w:p>
      <w:pPr>
        <w:pStyle w:val="BodyText"/>
      </w:pPr>
      <w:r>
        <w:t xml:space="preserve">These gaps largely persist throughout the 1969-2023 period, but fluctuate differently by unit of analysis. The kin group-level ratio declines before reversing around 2013. The household-level ratio, meanwhile, fluctuates more modestly and approaches its minimum in 2023.</w:t>
      </w:r>
    </w:p>
    <w:p>
      <w:pPr>
        <w:pStyle w:val="BodyText"/>
      </w:pPr>
      <w:r>
        <w:drawing>
          <wp:inline>
            <wp:extent cx="5334000" cy="4191000"/>
            <wp:effectExtent b="0" l="0" r="0" t="0"/>
            <wp:docPr descr="" title="" id="21" name="Picture"/>
            <a:graphic>
              <a:graphicData uri="http://schemas.openxmlformats.org/drawingml/2006/picture">
                <pic:pic>
                  <pic:nvPicPr>
                    <pic:cNvPr descr="/Users/amanda/Desktop/clan_project/10_draft/output/write_files/figure-docx/figure3-1.png" id="22" name="Picture"/>
                    <pic:cNvPicPr>
                      <a:picLocks noChangeArrowheads="1" noChangeAspect="1"/>
                    </pic:cNvPicPr>
                  </pic:nvPicPr>
                  <pic:blipFill>
                    <a:blip r:embed="rId2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kin groups (includes home equity), using weighted medians. Across all years, weighted median wealth is $6,908 for Black households and $79,216 for Non-Black households. For kin groups, the weighted median wealth is $58,326 for Black kin groups and $306,988 for Non-Black kin groups. Median ratio changed by -4.6% for households (0.074 in 1984 to 0.071 in 2023) and 7.5% for kin groups (0.201 to 0.216). On average across all years, the median wealth ratio for kin groups is 0.112 higher than for households. See Appendix E for mean wealth ratios.</w:t>
      </w:r>
    </w:p>
    <w:p>
      <w:pPr>
        <w:pStyle w:val="BodyText"/>
      </w:pPr>
      <w:r>
        <w:rPr>
          <w:b/>
          <w:bCs/>
        </w:rPr>
        <w:t xml:space="preserve">Sensitivity of difference between household- and kin group-level inequality.</w:t>
      </w:r>
      <w:r>
        <w:t xml:space="preserve"> </w:t>
      </w:r>
      <w:r>
        <w:t xml:space="preserve">We assess the robustness of our results through a series of sensitivity analyses. Across all specifications, estimated inequality is lower when using kin groups rather than households as the unit of analysis. For Gini coefficients, this finding is robust across race, different inclusion criteria for income and wealth measures, different samples, alternative measures of inequality, and when adjusting for household and kin group size. Some sensitivity analyses reduce the difference between household and kin group Gini, suggesting kin group inequality may be higher than what we find in our main analyses, but differences are never altogether eliminated. Results from these sensitivity analyses are available in Appendices C and D. For wealth ratios, findings are robust to different measures, inclusion criteria for wealth, samples, and when adjusting for household and kin group size. Using means rather than medians makes the kin group-level racial wealth gap appear similar to the household-level gap, as a small number of wealthy Black households skew average household-level inequality upwards. Results from these sensitivity analyses are available in Appendices E and F.</w:t>
      </w:r>
    </w:p>
    <w:bookmarkEnd w:id="23"/>
    <w:bookmarkStart w:id="24"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income and wealth inequality appear high both when examining society as a collection of households (the standard in the literature) and when examining society as a collection of kin groups. For the most part, income and wealth inequality are 20-30 percent lower when measured at the kin group- rather than the household-level, as per Gini coefficients. Likewise, we find that the median racial wealth gap between Black and non-Black families is high and persistent, whether measured at the household or kin group levels. Kin group racial wealth gaps are roughly ten percentage points lower than household gaps between Black and non-Black households. In other words, extended families are somewhat more economically similar to one another, on average, than households, but economic inequality is still severe on the kin group level.</w:t>
      </w:r>
    </w:p>
    <w:p>
      <w:pPr>
        <w:pStyle w:val="BodyText"/>
      </w:pPr>
      <w:r>
        <w:t xml:space="preserve">Our analyses complement existing scholarship on income and wealth inequality, which typically measures inequality at the household level (or in some cases the individual level). Our goal is not to diminish the importance of households as units of analysis, but to demonstrate that examining multiple units—including both households and kin groups—yields a more complete understanding of inequality as a complex social phenomenon. In principle, inequality between households could be very high even if inequality between kin groups were low. In the United States over the past 55 years, however, we observe substantial inequality at the kin group level as well.</w:t>
      </w:r>
    </w:p>
    <w:p>
      <w:pPr>
        <w:pStyle w:val="BodyText"/>
      </w:pPr>
      <w:r>
        <w:t xml:space="preserve">The choice to examine both households and kin groups as analytical units matters because different historical periods may generate inequality at different levels of social organization, a pattern reflected in our findings. For example, our analyses showed that kin group-level income inequality increased more rapidly than household-level income inequality over the study period. By contrast, trends over time in household and kin group wealth inequality were similar. This divergence over time between income and wealth patterns across levels of analysis may reflect the cumulative nature of wealth, which is more durably concentrated within kinship networks</w:t>
      </w:r>
      <w:r>
        <w:t xml:space="preserve"> </w:t>
      </w:r>
      <w:r>
        <w:t xml:space="preserve">[11, 14, 28]</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The patterns documented in our paper should not be interpreted as evidence that inequality in the U.S. is somehow less severe than previously understood. Our results suggest that if the United States were a pure “kin group society”—that is, if kin groups were the only meaningful social units and households held no independent significance—overall inequality would remain high, but somewhat less severe than current estimates imply. In reality, however, households are socially and economically meaningful units in the United States, and the substantial inequality between them remains consequential. At the same time, because the United States is not a pure “household society” either, high levels of kin group‑level inequality must also be taken seriously.</w:t>
      </w:r>
    </w:p>
    <w:p>
      <w:pPr>
        <w:pStyle w:val="BodyText"/>
      </w:pPr>
      <w:r>
        <w:t xml:space="preserve">Ultimately, inequality between households is nested in, and compounds with, inequality between kin groups. It is thus important to understand how the two, and for that matter individual-level inequality as well, interact to shape overall inequality. It is possible that families behave differently along the economic distribution, as our Lorenz curves suggest. If, for example, kin groups in the middle of the distribution have different motivations for accumulating wealth than those at the top, they may also spread resources differently within kin groups, across households</w:t>
      </w:r>
      <w:r>
        <w:t xml:space="preserve"> </w:t>
      </w:r>
      <w:r>
        <w:t xml:space="preserve">[29]</w:t>
      </w:r>
      <w:r>
        <w:t xml:space="preserve">. To fully understand patterns of inequality, we must examine interactions across levels.</w:t>
      </w:r>
    </w:p>
    <w:p>
      <w:pPr>
        <w:pStyle w:val="BodyText"/>
      </w:pPr>
      <w:r>
        <w:t xml:space="preserve">One possible mechanism shaping differences between household and kin group inequality, for both income and wealth, is intergenerational mobility. Mechanically, lower mobility between households produces greater homogeneity within kin groups. Low mobility means descendants’ households mimic the status of their ancestors, producing kin groups made up of similar households. Higher mobility would have the opposite effect. Persistently high inequality at both the household and kin group levels indicates that mobility has not been high.</w:t>
      </w:r>
    </w:p>
    <w:p>
      <w:pPr>
        <w:pStyle w:val="BodyText"/>
      </w:pPr>
      <w:r>
        <w:t xml:space="preserve">Additionally, high kin group inequality may further reduce mobility. If extended family members are valuable for upward mobility, high inequality across kin groups means that lower resourced households have less access to higher resourced households within their kin group. In other words, the prevalent concern that high inequality undermines intergenerational mobility</w:t>
      </w:r>
      <w:r>
        <w:t xml:space="preserve"> </w:t>
      </w:r>
      <w:r>
        <w:t xml:space="preserve">[30–32]</w:t>
      </w:r>
      <w:r>
        <w:t xml:space="preserve"> </w:t>
      </w:r>
      <w:r>
        <w:t xml:space="preserve">may operate on both the household and kin group levels, fueling future patterns of inequality.</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4"/>
    <w:bookmarkStart w:id="27"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kin groups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[24]</w:t>
      </w:r>
      <w:r>
        <w:t xml:space="preserve">.</w:t>
      </w:r>
    </w:p>
    <w:p>
      <w:pPr>
        <w:pStyle w:val="BodyText"/>
      </w:pPr>
      <w:r>
        <w:t xml:space="preserve">The PSID facilitates two linked units of analysis: households and kin groups.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Kin groups, in contrast, include all descendants of households sampled in 1968, linked through a PSID-generated identifier, which we refer to as a kin group identifier. Households added after 1968 receive their own kin group identifier upon entry. Kin group membership can change due to birth, death, adoption, marriage, and divorce. A small number of households (134 household-years) contain couples belonging to different kin groups; these cases were assigned to both kin groups.</w:t>
      </w:r>
    </w:p>
    <w:p>
      <w:pPr>
        <w:pStyle w:val="BodyText"/>
      </w:pPr>
      <w:r>
        <w:t xml:space="preserve">Additionally, although all households belong to a kin group, not all extended family members are observed in the PSID in every year. In some cases (especially in earlier years)</w:t>
      </w:r>
      <w:r>
        <w:rPr>
          <w:rStyle w:val="FootnoteReference"/>
        </w:rPr>
        <w:footnoteReference w:id="25"/>
      </w:r>
      <w:r>
        <w:t xml:space="preserve">, PSID kin groups consist of only a single observed household, rendering household and kin group-level measures identical. These observations are excluded from the main analyses because they do not capture extended family dynamics and are a result of survey limitations, rather than social reality. Including these single household kin groups reduces the household–kin group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kin group-years, representing 2,906 unique kin groups. Wealth analyses include 122,069 household-years and 26,655 kin group-years, representing 2,636 unique kin groups. Kin groups in the income sample have about 3.6 households on average (SD = 2.3) and 9.3 individuals (SD = 7.0). Kin groups in the wealth sample have about 4.2 households on average (SD = 2.9) and 10.6 individuals (SD = 8.5). The average household consists of 2.4 individuals in the income sample (SD = 1.4) and 2.3 individuals in the wealth sample (SD = 1.4).</w:t>
      </w:r>
      <w:r>
        <w:rPr>
          <w:rStyle w:val="FootnoteReference"/>
        </w:rPr>
        <w:footnoteReference w:id="26"/>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23, 28]</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kin group level, but the difference between household and kin group-level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[28, 33]</w:t>
      </w:r>
      <w:r>
        <w:t xml:space="preserve">. All income and wealth values are adjusted for inflation. Additionally, analyses set negative values of income and wealth to zero so that Gini coefficients are interpretable by remaining in the 0 to 1 range. When negative values are included, Gini coefficients are about the same (see Appendix C4).</w:t>
      </w:r>
    </w:p>
    <w:p>
      <w:pPr>
        <w:pStyle w:val="BodyText"/>
      </w:pPr>
      <w:r>
        <w:t xml:space="preserve">To construct kin group-level measures, we aggregate household income and wealth for all households in a kin group within each kin group-year. Measures are divided by the number of people in a household or number of households within a kin group to standardize by household and kin group size, respectively. Adjusting for size decreases inequality and magnifies the difference between household and kin group Gini coefficients. Nonetheless, less inequality is estimated when kin groups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kin group-level weights using the same fair shares principle. Kin group weights assume that the probability of observing a family within a kin group equals the probability of observing the kin group itself. As a result, each kin group’s influence reflects the representation of the average household within that kin group, rather than scaling mechanically with the kin group’s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[34]</w:t>
      </w:r>
      <w:r>
        <w:t xml:space="preserve">. Black households are all households with a Black head of household. Black kin groups are kin groups in which more than half of the households within it identify as Black. Analyses by race and ethnicity are limited to Black and non-Black categories because there are relatively few kin groups in the PSID data (2,906 for income and 2,636 for wealth). Additionally, the genealogical design of the PSID reflects the demographics of the United States at the time the survey began in 1968, which constrains analyses of kin groups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kin groups.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[35–37]</w:t>
      </w:r>
      <w:r>
        <w:t xml:space="preserve">. To assess whether our results depend on where inequality is concentrated along the distribution, we also examine two related measures, referred to as the Gini’s “nuclear family”</w:t>
      </w:r>
      <w:r>
        <w:t xml:space="preserve"> </w:t>
      </w:r>
      <w:r>
        <w:t xml:space="preserve">[38]</w:t>
      </w:r>
      <w:r>
        <w:t xml:space="preserve">. Across all measures, we find that estimated inequality is consistently lower when measured at the kin group level than at the household level for both income and wealth (see Appendix D).</w:t>
      </w:r>
    </w:p>
    <w:p>
      <w:pPr>
        <w:pStyle w:val="BodyText"/>
      </w:pPr>
      <w:r>
        <w:t xml:space="preserve">Gini coefficients are calculated separately for income and wealth to reflect their distinct dimensions of inequality. Estimates of Gini coefficients in our data are comparable to estimates from other studies, though there is more variation in wealth coefficients, likely because the PSID excludes wealthy households (see Appendix B).</w:t>
      </w:r>
    </w:p>
    <w:bookmarkEnd w:id="27"/>
    <w:bookmarkStart w:id="39" w:name="appendix"/>
    <w:p>
      <w:pPr>
        <w:pStyle w:val="Heading1"/>
      </w:pPr>
      <w:r>
        <w:t xml:space="preserve">Appendix</w:t>
      </w:r>
    </w:p>
    <w:bookmarkStart w:id="37" w:name="appendix-a-simulating-gini-coefficients"/>
    <w:p>
      <w:pPr>
        <w:pStyle w:val="Heading2"/>
      </w:pPr>
      <w:r>
        <w:t xml:space="preserve">Appendix A: Simulating Gini Coefficients</w:t>
      </w:r>
    </w:p>
    <w:p>
      <w:pPr>
        <w:pStyle w:val="FirstParagraph"/>
      </w:pPr>
      <w:r>
        <w:t xml:space="preserve">Appendix A illustrates extreme cases from simulated household and kin group data. The simulation demonstrates that kin group-level Gini coefficients are not necessarily lower than household-level Gini coefficients. The direction of the difference depends on the relationship between kin group size, the overall distribution of resources, and the selection of households into kin groups.</w:t>
      </w:r>
    </w:p>
    <w:p>
      <w:pPr>
        <w:pStyle w:val="BodyText"/>
      </w:pPr>
      <w:r>
        <w:t xml:space="preserve">Appendix A1 shows the minimum possible difference between kin group and household Gini coefficients in the simulated data, while Appendix A2 shows the maximum possible difference. Curves show that Gini coefficients at the kin group level can exceed those of households. Appendix A3 illustrates that, while it is more likely for Gini coefficients at the household level to exceed Gini coefficients at the kin group level, whether this effect is observed depends on the combination between kin group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9" name="Picture"/>
            <a:graphic>
              <a:graphicData uri="http://schemas.openxmlformats.org/drawingml/2006/picture">
                <pic:pic>
                  <pic:nvPicPr>
                    <pic:cNvPr descr="/Users/amanda/Desktop/clan_project/10_draft/output/write_files/figure-docx/appendix-a1-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2" name="Picture"/>
            <a:graphic>
              <a:graphicData uri="http://schemas.openxmlformats.org/drawingml/2006/picture">
                <pic:pic>
                  <pic:nvPicPr>
                    <pic:cNvPr descr="/Users/amanda/Desktop/clan_project/10_draft/output/write_files/figure-docx/appendix-a2-1.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5" name="Picture"/>
            <a:graphic>
              <a:graphicData uri="http://schemas.openxmlformats.org/drawingml/2006/picture">
                <pic:pic>
                  <pic:nvPicPr>
                    <pic:cNvPr descr="/Users/amanda/Desktop/clan_project/10_draft/output/write_files/figure-docx/appendix-a3-1.png" id="36" name="Picture"/>
                    <pic:cNvPicPr>
                      <a:picLocks noChangeArrowheads="1" noChangeAspect="1"/>
                    </pic:cNvPicPr>
                  </pic:nvPicPr>
                  <pic:blipFill>
                    <a:blip r:embed="rId34"/>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7"/>
    <w:bookmarkStart w:id="38"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kin group with at least one other household (which are the results presented in the main paper).</w:t>
      </w:r>
    </w:p>
    <w:p>
      <w:pPr>
        <w:pStyle w:val="BodyText"/>
      </w:pPr>
      <w:r>
        <w:t xml:space="preserve">Gini coefficients are not available for all years in other sources, so only years available are presented. Gini benchmarks for income rely on estimates from the Federal Reserve Bank of St. Louis (FRED) and the U.S. Census</w:t>
      </w:r>
      <w:r>
        <w:t xml:space="preserve"> </w:t>
      </w:r>
      <w:r>
        <w:t xml:space="preserve">[1, 39]</w:t>
      </w:r>
      <w:r>
        <w:t xml:space="preserve">. FRED uses data from the World Bank on U.S. households and the Census uses data from the Current Population Survey (CPS). Gini benchmarks for wealth rely on estimates from research papers based on data from the PSID or Survey of Consumer Finances (SCF)</w:t>
      </w:r>
      <w:r>
        <w:t xml:space="preserve"> </w:t>
      </w:r>
      <w:r>
        <w:t xml:space="preserve">[20, 40]</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bookmarkEnd w:id="38"/>
    <w:bookmarkEnd w:id="39"/>
    <w:bookmarkStart w:id="64" w:name="X1a48765accbb976c449929efb9c303c48aeac11"/>
    <w:p>
      <w:pPr>
        <w:pStyle w:val="Heading1"/>
      </w:pPr>
      <w:r>
        <w:t xml:space="preserve">Appendix C: Sensitivity Analyses — Gini Coefficients</w:t>
      </w:r>
    </w:p>
    <w:p>
      <w:pPr>
        <w:pStyle w:val="FirstParagraph"/>
      </w:pPr>
      <w:r>
        <w:t xml:space="preserve">Across a range of specifications, estimated inequality using the Gini is lower when kin groups are used as the unit of analysis instead of households. This pattern is not driven by race, nor does it disappear when expanding the sample, excluding home equity in measures of wealth, including negative wealth values, standardizing by household size, or applying weights. For each specification, results are recalculated and displayed alongside the main results.</w:t>
      </w:r>
    </w:p>
    <w:bookmarkStart w:id="43" w:name="X2af1039fa4a14e53aec9c9fa061f4e8992f7595"/>
    <w:p>
      <w:pPr>
        <w:pStyle w:val="Heading2"/>
      </w:pPr>
      <w:r>
        <w:t xml:space="preserve">Appendix C1: Gini Coefficients by Race Subgroup</w:t>
      </w:r>
    </w:p>
    <w:p>
      <w:pPr>
        <w:pStyle w:val="FirstParagraph"/>
      </w:pPr>
      <w:r>
        <w:t xml:space="preserve">The differences between Gini coefficients at the household and kin group level are not driven by racial subgroups. Graphs on the left side show Gini coefficients for Black households and kin groups. Graphs in the middle show Gini coefficients for non-Black households and kin groups. The graphs on the right side show the difference between household and kin group (HH - kin group) Gini coefficients for each group. Gini coefficients for income (Panel A) and wealth (Panel B) are higher at the kin group level for both Black and non-Black kin groups, indicating that inequality is lower when estimated at the kin group level across racial groups.</w:t>
      </w:r>
    </w:p>
    <w:p>
      <w:pPr>
        <w:pStyle w:val="BodyText"/>
      </w:pPr>
      <w:r>
        <w:drawing>
          <wp:inline>
            <wp:extent cx="5334000" cy="4191000"/>
            <wp:effectExtent b="0" l="0" r="0" t="0"/>
            <wp:docPr descr="" title="" id="41" name="Picture"/>
            <a:graphic>
              <a:graphicData uri="http://schemas.openxmlformats.org/drawingml/2006/picture">
                <pic:pic>
                  <pic:nvPicPr>
                    <pic:cNvPr descr="/Users/amanda/Desktop/clan_project/10_draft/output/write_files/figure-docx/appendix-c1-1.png" id="42" name="Picture"/>
                    <pic:cNvPicPr>
                      <a:picLocks noChangeArrowheads="1" noChangeAspect="1"/>
                    </pic:cNvPicPr>
                  </pic:nvPicPr>
                  <pic:blipFill>
                    <a:blip r:embed="rId40"/>
                    <a:stretch>
                      <a:fillRect/>
                    </a:stretch>
                  </pic:blipFill>
                  <pic:spPr bwMode="auto">
                    <a:xfrm>
                      <a:off x="0" y="0"/>
                      <a:ext cx="5334000" cy="4191000"/>
                    </a:xfrm>
                    <a:prstGeom prst="rect">
                      <a:avLst/>
                    </a:prstGeom>
                    <a:noFill/>
                    <a:ln w="9525">
                      <a:noFill/>
                      <a:headEnd/>
                      <a:tailEnd/>
                    </a:ln>
                  </pic:spPr>
                </pic:pic>
              </a:graphicData>
            </a:graphic>
          </wp:inline>
        </w:drawing>
      </w:r>
    </w:p>
    <w:bookmarkEnd w:id="43"/>
    <w:bookmarkStart w:id="47" w:name="X05171309a402648ffa9946822f50c48bfc2d2fb"/>
    <w:p>
      <w:pPr>
        <w:pStyle w:val="Heading2"/>
      </w:pPr>
      <w:r>
        <w:t xml:space="preserve">Appendix C2: Sensitivity — Single-Household Clans</w:t>
      </w:r>
    </w:p>
    <w:p>
      <w:pPr>
        <w:pStyle w:val="FirstParagraph"/>
      </w:pPr>
      <w:r>
        <w:t xml:space="preserve">In reality, all households belong to kin groups that consist of multiple households. However, some households in the PSID do not have kin groups due to the survey design and attrition. The survey is genealogical, meaning that initial households only have measurable kin groups once their descendants respond to the survey. Attrition also might limit responses from some households, thereby erasing kin groups for the households they are connected to.</w:t>
      </w:r>
    </w:p>
    <w:p>
      <w:pPr>
        <w:pStyle w:val="BodyText"/>
      </w:pPr>
      <w:r>
        <w:t xml:space="preserve">Because these limitations are imposed by the survey design, not social reality, we exclude household-years where households are alone in their kin group from both household and kin group measurements. The graphs on the left side show this. When including these single-household kin groups, or “kin groupless” households, the difference in Gini coefficients at the household and kin groups levels is minimized but not eliminated. The graphs in the middle show Gini coefficients when single-household kin groups are included. The graphs on the right side show the difference between household and kin group (HH - kin group) Gini coefficients for each group. Differences in estimated inequality at the kin group and household levels are smaller when including kin groupless households, however, they still exist and are increasing over time.</w:t>
      </w:r>
    </w:p>
    <w:p>
      <w:pPr>
        <w:pStyle w:val="BodyText"/>
      </w:pPr>
      <w:r>
        <w:drawing>
          <wp:inline>
            <wp:extent cx="5334000" cy="4191000"/>
            <wp:effectExtent b="0" l="0" r="0" t="0"/>
            <wp:docPr descr="" title="" id="45" name="Picture"/>
            <a:graphic>
              <a:graphicData uri="http://schemas.openxmlformats.org/drawingml/2006/picture">
                <pic:pic>
                  <pic:nvPicPr>
                    <pic:cNvPr descr="/Users/amanda/Desktop/clan_project/10_draft/output/write_files/figure-docx/appendix-c2-1.png" id="46" name="Picture"/>
                    <pic:cNvPicPr>
                      <a:picLocks noChangeArrowheads="1" noChangeAspect="1"/>
                    </pic:cNvPicPr>
                  </pic:nvPicPr>
                  <pic:blipFill>
                    <a:blip r:embed="rId44"/>
                    <a:stretch>
                      <a:fillRect/>
                    </a:stretch>
                  </pic:blipFill>
                  <pic:spPr bwMode="auto">
                    <a:xfrm>
                      <a:off x="0" y="0"/>
                      <a:ext cx="5334000" cy="4191000"/>
                    </a:xfrm>
                    <a:prstGeom prst="rect">
                      <a:avLst/>
                    </a:prstGeom>
                    <a:noFill/>
                    <a:ln w="9525">
                      <a:noFill/>
                      <a:headEnd/>
                      <a:tailEnd/>
                    </a:ln>
                  </pic:spPr>
                </pic:pic>
              </a:graphicData>
            </a:graphic>
          </wp:inline>
        </w:drawing>
      </w:r>
    </w:p>
    <w:bookmarkEnd w:id="47"/>
    <w:bookmarkStart w:id="51" w:name="X0135a91ed4579dbd4101e9315fdc7d38edce4c7"/>
    <w:p>
      <w:pPr>
        <w:pStyle w:val="Heading2"/>
      </w:pPr>
      <w:r>
        <w:t xml:space="preserve">Appendix C3: Sensitivity — Wealth With and Without Home Equity</w:t>
      </w:r>
    </w:p>
    <w:p>
      <w:pPr>
        <w:pStyle w:val="FirstParagraph"/>
      </w:pPr>
      <w:r>
        <w:t xml:space="preserve">Results presented in the main text include home equity for measures of wealth. Appendix C3 shows Gini coefficients when home equity is excluded (middle graphs), and reports the difference between Gini coefficients at the household and kin group levels (graphs on the right). Excluding home equity makes estimated inequality lower and minimizes the observed difference between household and kin group Gini coefficients.</w:t>
      </w:r>
    </w:p>
    <w:p>
      <w:pPr>
        <w:pStyle w:val="BodyText"/>
      </w:pPr>
      <w:r>
        <w:drawing>
          <wp:inline>
            <wp:extent cx="5334000" cy="2667000"/>
            <wp:effectExtent b="0" l="0" r="0" t="0"/>
            <wp:docPr descr="" title="" id="49" name="Picture"/>
            <a:graphic>
              <a:graphicData uri="http://schemas.openxmlformats.org/drawingml/2006/picture">
                <pic:pic>
                  <pic:nvPicPr>
                    <pic:cNvPr descr="/Users/amanda/Desktop/clan_project/10_draft/output/write_files/figure-docx/appendix-c3-1.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bookmarkEnd w:id="51"/>
    <w:bookmarkStart w:id="55" w:name="appendix-c4-sensitivity-negative-values"/>
    <w:p>
      <w:pPr>
        <w:pStyle w:val="Heading2"/>
      </w:pPr>
      <w:r>
        <w:t xml:space="preserve">Appendix C4: Sensitivity — Negative Values</w:t>
      </w:r>
    </w:p>
    <w:p>
      <w:pPr>
        <w:pStyle w:val="FirstParagraph"/>
      </w:pPr>
      <w:r>
        <w:t xml:space="preserve">Results presented in the main text exclude negative values for income and wealth. Appendix C4 shows Gini coefficients when negative values are included (middle graphs), and reports the difference between Gini coefficients at the household and kin group levels (graphs on the right). Including negative values does not change estimated Gini coefficients at the household or kin group levels.</w:t>
      </w:r>
    </w:p>
    <w:p>
      <w:pPr>
        <w:pStyle w:val="BodyText"/>
      </w:pPr>
      <w:r>
        <w:drawing>
          <wp:inline>
            <wp:extent cx="5334000" cy="4191000"/>
            <wp:effectExtent b="0" l="0" r="0" t="0"/>
            <wp:docPr descr="" title="" id="53" name="Picture"/>
            <a:graphic>
              <a:graphicData uri="http://schemas.openxmlformats.org/drawingml/2006/picture">
                <pic:pic>
                  <pic:nvPicPr>
                    <pic:cNvPr descr="/Users/amanda/Desktop/clan_project/10_draft/output/write_files/figure-docx/appendix-c4-1.png" id="54" name="Picture"/>
                    <pic:cNvPicPr>
                      <a:picLocks noChangeArrowheads="1" noChangeAspect="1"/>
                    </pic:cNvPicPr>
                  </pic:nvPicPr>
                  <pic:blipFill>
                    <a:blip r:embed="rId52"/>
                    <a:stretch>
                      <a:fillRect/>
                    </a:stretch>
                  </pic:blipFill>
                  <pic:spPr bwMode="auto">
                    <a:xfrm>
                      <a:off x="0" y="0"/>
                      <a:ext cx="5334000" cy="4191000"/>
                    </a:xfrm>
                    <a:prstGeom prst="rect">
                      <a:avLst/>
                    </a:prstGeom>
                    <a:noFill/>
                    <a:ln w="9525">
                      <a:noFill/>
                      <a:headEnd/>
                      <a:tailEnd/>
                    </a:ln>
                  </pic:spPr>
                </pic:pic>
              </a:graphicData>
            </a:graphic>
          </wp:inline>
        </w:drawing>
      </w:r>
    </w:p>
    <w:bookmarkEnd w:id="55"/>
    <w:bookmarkStart w:id="59" w:name="X77e9005b9b6a06de423e46c0fd275669ef06bbc"/>
    <w:p>
      <w:pPr>
        <w:pStyle w:val="Heading2"/>
      </w:pPr>
      <w:r>
        <w:t xml:space="preserve">Appendix C5: Sensitivity — Size Standardization</w:t>
      </w:r>
    </w:p>
    <w:p>
      <w:pPr>
        <w:pStyle w:val="FirstParagraph"/>
      </w:pPr>
      <w:r>
        <w:t xml:space="preserve">Results in the main text standardize income, wealth, and resulting Gini coefficients by household and kin group size. Estimated inequality is higher when results are not standardized by size and the gap between household and kin group Gini coefficients is smaller. However, Gini coefficients are higher at the kin group versus household level irrespective of whether measurements are adjusted by size.</w:t>
      </w:r>
    </w:p>
    <w:p>
      <w:pPr>
        <w:pStyle w:val="BodyText"/>
      </w:pPr>
      <w:r>
        <w:drawing>
          <wp:inline>
            <wp:extent cx="5334000" cy="4191000"/>
            <wp:effectExtent b="0" l="0" r="0" t="0"/>
            <wp:docPr descr="" title="" id="57" name="Picture"/>
            <a:graphic>
              <a:graphicData uri="http://schemas.openxmlformats.org/drawingml/2006/picture">
                <pic:pic>
                  <pic:nvPicPr>
                    <pic:cNvPr descr="/Users/amanda/Desktop/clan_project/10_draft/output/write_files/figure-docx/appendix-c5-1.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bookmarkEnd w:id="59"/>
    <w:bookmarkStart w:id="63" w:name="appendix-c6-sensitivity-weighting"/>
    <w:p>
      <w:pPr>
        <w:pStyle w:val="Heading2"/>
      </w:pPr>
      <w:r>
        <w:t xml:space="preserve">Appendix C6: Sensitivity — Weighting</w:t>
      </w:r>
    </w:p>
    <w:p>
      <w:pPr>
        <w:pStyle w:val="FirstParagraph"/>
      </w:pPr>
      <w:r>
        <w:t xml:space="preserve">All results presented in the main paper are weighted. Household-level Gini coefficients are weighted using PSID-provided family weights, while kin group-level Gini coefficients are weighted using a constructed kin group weight based on the PSID family weight. Weighting does not substantially change the results.</w:t>
      </w:r>
    </w:p>
    <w:p>
      <w:pPr>
        <w:pStyle w:val="BodyText"/>
      </w:pPr>
      <w:r>
        <w:drawing>
          <wp:inline>
            <wp:extent cx="5334000" cy="4191000"/>
            <wp:effectExtent b="0" l="0" r="0" t="0"/>
            <wp:docPr descr="" title="" id="61" name="Picture"/>
            <a:graphic>
              <a:graphicData uri="http://schemas.openxmlformats.org/drawingml/2006/picture">
                <pic:pic>
                  <pic:nvPicPr>
                    <pic:cNvPr descr="/Users/amanda/Desktop/clan_project/10_draft/output/write_files/figure-docx/appendix-c6-1.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bookmarkEnd w:id="63"/>
    <w:bookmarkEnd w:id="64"/>
    <w:bookmarkStart w:id="68" w:name="Xbdbdfc1a62708dc07a090fee8b3b74e63e756a2"/>
    <w:p>
      <w:pPr>
        <w:pStyle w:val="Heading1"/>
      </w:pPr>
      <w:r>
        <w:t xml:space="preserve">Appendix D: Alternative Inequality Measures</w:t>
      </w:r>
    </w:p>
    <w:p>
      <w:pPr>
        <w:pStyle w:val="FirstParagraph"/>
      </w:pPr>
      <w:r>
        <w:t xml:space="preserve">Appendix D shows three alternative measures of inequality proposed by Aaberge</w:t>
      </w:r>
      <w:r>
        <w:t xml:space="preserve"> </w:t>
      </w:r>
      <w:r>
        <w:t xml:space="preserve">[38]</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kin group level using any measure of inequality.</w:t>
      </w:r>
    </w:p>
    <w:p>
      <w:pPr>
        <w:pStyle w:val="BodyText"/>
      </w:pPr>
      <w:r>
        <w:drawing>
          <wp:inline>
            <wp:extent cx="5334000" cy="4953000"/>
            <wp:effectExtent b="0" l="0" r="0" t="0"/>
            <wp:docPr descr="" title="" id="66" name="Picture"/>
            <a:graphic>
              <a:graphicData uri="http://schemas.openxmlformats.org/drawingml/2006/picture">
                <pic:pic>
                  <pic:nvPicPr>
                    <pic:cNvPr descr="/Users/amanda/Desktop/clan_project/10_draft/output/write_files/figure-docx/appendix-d-1.png" id="67" name="Picture"/>
                    <pic:cNvPicPr>
                      <a:picLocks noChangeArrowheads="1" noChangeAspect="1"/>
                    </pic:cNvPicPr>
                  </pic:nvPicPr>
                  <pic:blipFill>
                    <a:blip r:embed="rId65"/>
                    <a:stretch>
                      <a:fillRect/>
                    </a:stretch>
                  </pic:blipFill>
                  <pic:spPr bwMode="auto">
                    <a:xfrm>
                      <a:off x="0" y="0"/>
                      <a:ext cx="5334000" cy="4953000"/>
                    </a:xfrm>
                    <a:prstGeom prst="rect">
                      <a:avLst/>
                    </a:prstGeom>
                    <a:noFill/>
                    <a:ln w="9525">
                      <a:noFill/>
                      <a:headEnd/>
                      <a:tailEnd/>
                    </a:ln>
                  </pic:spPr>
                </pic:pic>
              </a:graphicData>
            </a:graphic>
          </wp:inline>
        </w:drawing>
      </w:r>
    </w:p>
    <w:bookmarkEnd w:id="68"/>
    <w:bookmarkStart w:id="183" w:name="X5f622d6d803146b163d9253c739d30f2df1566c"/>
    <w:p>
      <w:pPr>
        <w:pStyle w:val="Heading1"/>
      </w:pPr>
      <w:r>
        <w:t xml:space="preserve">Appendix E: Sensitivity Analyses — Race Ratios</w:t>
      </w:r>
    </w:p>
    <w:p>
      <w:pPr>
        <w:pStyle w:val="FirstParagraph"/>
      </w:pPr>
      <w:r>
        <w:t xml:space="preserve">Across a range of specifications, estimated median racial wealth gaps are lower when kin groups are used as the unit of analysis instead of households. This pattern does not disappear when expanding the sample, excluding home equity in measures of wealth, including negative wealth values, standardizing by household size, or applying weights. For each specification, results are recalculated and displayed alongside the main results.</w:t>
      </w:r>
    </w:p>
    <w:p>
      <w:pPr>
        <w:pStyle w:val="BodyText"/>
      </w:pPr>
      <w:r>
        <w:t xml:space="preserve">Mean racial wealth gaps are about the same at the household and kin group levels. This finding is also robust across each specification. Appendix E1 explains the difference between the mean and median wealth ratios and why median racial wealth gaps are presented.</w:t>
      </w:r>
    </w:p>
    <w:bookmarkStart w:id="72" w:name="Xaf4b4e30a82a5efc110f75affa781b311e02b22"/>
    <w:p>
      <w:pPr>
        <w:pStyle w:val="Heading2"/>
      </w:pPr>
      <w:r>
        <w:t xml:space="preserve">Appendix E1: Mean and Median Wealth Ratios</w:t>
      </w:r>
    </w:p>
    <w:p>
      <w:pPr>
        <w:pStyle w:val="FirstParagraph"/>
      </w:pPr>
      <w:r>
        <w:t xml:space="preserve">Appendix E1 reports Black / non-Black wealth ratios using weighted means for both households and kin groups. Panel A reproduces the median wealth ratios (as in Figure 3), while Panel B presents mean wealth ratios. Using medians, the racial wealth gap differs between households and kin groups (Panel A), whereas using means, the two are about the same (Panel B).</w:t>
      </w:r>
    </w:p>
    <w:p>
      <w:pPr>
        <w:pStyle w:val="BodyText"/>
      </w:pPr>
      <w:r>
        <w:t xml:space="preserve">Race ratios using mean wealth, when pooled across all years, show that Black households hold 19 cents for every dollar of wealth held by non-Black households, while Black kin groups hold 18 cents for every dollar held by non-Black kin groups. The convergence in mean-based estimates is driven by a small number of high-wealth Black households in the PSID, particularly in 2004–2005, which skew household-level averages. These results highlight the sensitivity of mean-based measures to outliers, which is why we present race ratios based on median wealth in the main text.</w:t>
      </w:r>
    </w:p>
    <w:p>
      <w:pPr>
        <w:pStyle w:val="BodyText"/>
      </w:pPr>
      <w:r>
        <w:drawing>
          <wp:inline>
            <wp:extent cx="5334000" cy="4191000"/>
            <wp:effectExtent b="0" l="0" r="0" t="0"/>
            <wp:docPr descr="" title="" id="70" name="Picture"/>
            <a:graphic>
              <a:graphicData uri="http://schemas.openxmlformats.org/drawingml/2006/picture">
                <pic:pic>
                  <pic:nvPicPr>
                    <pic:cNvPr descr="/Users/amanda/Desktop/clan_project/10_draft/output/write_files/figure-docx/appendix-e1-1.png" id="71" name="Picture"/>
                    <pic:cNvPicPr>
                      <a:picLocks noChangeArrowheads="1" noChangeAspect="1"/>
                    </pic:cNvPicPr>
                  </pic:nvPicPr>
                  <pic:blipFill>
                    <a:blip r:embed="rId69"/>
                    <a:stretch>
                      <a:fillRect/>
                    </a:stretch>
                  </pic:blipFill>
                  <pic:spPr bwMode="auto">
                    <a:xfrm>
                      <a:off x="0" y="0"/>
                      <a:ext cx="5334000" cy="4191000"/>
                    </a:xfrm>
                    <a:prstGeom prst="rect">
                      <a:avLst/>
                    </a:prstGeom>
                    <a:noFill/>
                    <a:ln w="9525">
                      <a:noFill/>
                      <a:headEnd/>
                      <a:tailEnd/>
                    </a:ln>
                  </pic:spPr>
                </pic:pic>
              </a:graphicData>
            </a:graphic>
          </wp:inline>
        </w:drawing>
      </w:r>
    </w:p>
    <w:bookmarkEnd w:id="72"/>
    <w:bookmarkStart w:id="76" w:name="Xd5a9b67d5a8e965514382ecfe1cc3ed9659fe17"/>
    <w:p>
      <w:pPr>
        <w:pStyle w:val="Heading2"/>
      </w:pPr>
      <w:r>
        <w:t xml:space="preserve">Appendix E2: Race Ratios — Single-Household Clans</w:t>
      </w:r>
    </w:p>
    <w:p>
      <w:pPr>
        <w:pStyle w:val="FirstParagraph"/>
      </w:pPr>
      <w:r>
        <w:t xml:space="preserve">Appendix E2 shows Black / Non-Black wealth ratios when single-household kin groups are excluded (main specification, left panels) versus included (middle panels). Panel A shows median wealth ratios and Panel B shows mean wealth ratios. Including single-household kin groups does little to change racial wealth gaps using median or mean wealth (right panels). In particular, the median racial wealth gap between kin groups, versus households, shows less inequality irrespective of whether single-household kin groups are included.</w:t>
      </w:r>
    </w:p>
    <w:p>
      <w:pPr>
        <w:pStyle w:val="BodyText"/>
      </w:pPr>
      <w:r>
        <w:drawing>
          <wp:inline>
            <wp:extent cx="5334000" cy="4191000"/>
            <wp:effectExtent b="0" l="0" r="0" t="0"/>
            <wp:docPr descr="" title="" id="74" name="Picture"/>
            <a:graphic>
              <a:graphicData uri="http://schemas.openxmlformats.org/drawingml/2006/picture">
                <pic:pic>
                  <pic:nvPicPr>
                    <pic:cNvPr descr="/Users/amanda/Desktop/clan_project/10_draft/output/write_files/figure-docx/appendix-e2-1.png" id="75" name="Picture"/>
                    <pic:cNvPicPr>
                      <a:picLocks noChangeArrowheads="1" noChangeAspect="1"/>
                    </pic:cNvPicPr>
                  </pic:nvPicPr>
                  <pic:blipFill>
                    <a:blip r:embed="rId73"/>
                    <a:stretch>
                      <a:fillRect/>
                    </a:stretch>
                  </pic:blipFill>
                  <pic:spPr bwMode="auto">
                    <a:xfrm>
                      <a:off x="0" y="0"/>
                      <a:ext cx="5334000" cy="4191000"/>
                    </a:xfrm>
                    <a:prstGeom prst="rect">
                      <a:avLst/>
                    </a:prstGeom>
                    <a:noFill/>
                    <a:ln w="9525">
                      <a:noFill/>
                      <a:headEnd/>
                      <a:tailEnd/>
                    </a:ln>
                  </pic:spPr>
                </pic:pic>
              </a:graphicData>
            </a:graphic>
          </wp:inline>
        </w:drawing>
      </w:r>
    </w:p>
    <w:bookmarkEnd w:id="76"/>
    <w:bookmarkStart w:id="80" w:name="X4f8f6757e41621a604b96cab76adac83d382470"/>
    <w:p>
      <w:pPr>
        <w:pStyle w:val="Heading2"/>
      </w:pPr>
      <w:r>
        <w:t xml:space="preserve">Appendix E3: Race Ratios — Wealth With and Without Home Equity</w:t>
      </w:r>
    </w:p>
    <w:p>
      <w:pPr>
        <w:pStyle w:val="FirstParagraph"/>
      </w:pPr>
      <w:r>
        <w:t xml:space="preserve">Appendix E3 compares racial wealth ratios when home equity is included (main specification, left panels) versus excluded (middle panels). Panel A shows median wealth ratios and Panel B shows mean wealth ratios. The median racial wealth gap between kin groups, versus households, shows less inequality irrespective of whether wealth measures include home equity.</w:t>
      </w:r>
    </w:p>
    <w:p>
      <w:pPr>
        <w:pStyle w:val="BodyText"/>
      </w:pPr>
      <w:r>
        <w:drawing>
          <wp:inline>
            <wp:extent cx="5334000" cy="4191000"/>
            <wp:effectExtent b="0" l="0" r="0" t="0"/>
            <wp:docPr descr="" title="" id="78" name="Picture"/>
            <a:graphic>
              <a:graphicData uri="http://schemas.openxmlformats.org/drawingml/2006/picture">
                <pic:pic>
                  <pic:nvPicPr>
                    <pic:cNvPr descr="/Users/amanda/Desktop/clan_project/10_draft/output/write_files/figure-docx/appendix-e3-1.png" id="79" name="Picture"/>
                    <pic:cNvPicPr>
                      <a:picLocks noChangeArrowheads="1" noChangeAspect="1"/>
                    </pic:cNvPicPr>
                  </pic:nvPicPr>
                  <pic:blipFill>
                    <a:blip r:embed="rId77"/>
                    <a:stretch>
                      <a:fillRect/>
                    </a:stretch>
                  </pic:blipFill>
                  <pic:spPr bwMode="auto">
                    <a:xfrm>
                      <a:off x="0" y="0"/>
                      <a:ext cx="5334000" cy="4191000"/>
                    </a:xfrm>
                    <a:prstGeom prst="rect">
                      <a:avLst/>
                    </a:prstGeom>
                    <a:noFill/>
                    <a:ln w="9525">
                      <a:noFill/>
                      <a:headEnd/>
                      <a:tailEnd/>
                    </a:ln>
                  </pic:spPr>
                </pic:pic>
              </a:graphicData>
            </a:graphic>
          </wp:inline>
        </w:drawing>
      </w:r>
    </w:p>
    <w:bookmarkEnd w:id="80"/>
    <w:bookmarkStart w:id="84" w:name="appendix-e4-race-ratios-negative-values"/>
    <w:p>
      <w:pPr>
        <w:pStyle w:val="Heading2"/>
      </w:pPr>
      <w:r>
        <w:t xml:space="preserve">Appendix E4: Race Ratios — Negative Values</w:t>
      </w:r>
    </w:p>
    <w:p>
      <w:pPr>
        <w:pStyle w:val="FirstParagraph"/>
      </w:pPr>
      <w:r>
        <w:t xml:space="preserve">Appendix E4 shows Black / Non-Black wealth ratios when negative wealth values are excluded (main specification, left panels) versus included (middle panels). Panel A shows median wealth ratios and Panel B shows mean wealth ratios. Including negative values does not change the estimated race ratios.</w:t>
      </w:r>
    </w:p>
    <w:p>
      <w:pPr>
        <w:pStyle w:val="BodyText"/>
      </w:pPr>
      <w:r>
        <w:drawing>
          <wp:inline>
            <wp:extent cx="5334000" cy="4191000"/>
            <wp:effectExtent b="0" l="0" r="0" t="0"/>
            <wp:docPr descr="" title="" id="82" name="Picture"/>
            <a:graphic>
              <a:graphicData uri="http://schemas.openxmlformats.org/drawingml/2006/picture">
                <pic:pic>
                  <pic:nvPicPr>
                    <pic:cNvPr descr="/Users/amanda/Desktop/clan_project/10_draft/output/write_files/figure-docx/appendix-e4-1.png" id="83" name="Picture"/>
                    <pic:cNvPicPr>
                      <a:picLocks noChangeArrowheads="1" noChangeAspect="1"/>
                    </pic:cNvPicPr>
                  </pic:nvPicPr>
                  <pic:blipFill>
                    <a:blip r:embed="rId81"/>
                    <a:stretch>
                      <a:fillRect/>
                    </a:stretch>
                  </pic:blipFill>
                  <pic:spPr bwMode="auto">
                    <a:xfrm>
                      <a:off x="0" y="0"/>
                      <a:ext cx="5334000" cy="4191000"/>
                    </a:xfrm>
                    <a:prstGeom prst="rect">
                      <a:avLst/>
                    </a:prstGeom>
                    <a:noFill/>
                    <a:ln w="9525">
                      <a:noFill/>
                      <a:headEnd/>
                      <a:tailEnd/>
                    </a:ln>
                  </pic:spPr>
                </pic:pic>
              </a:graphicData>
            </a:graphic>
          </wp:inline>
        </w:drawing>
      </w:r>
    </w:p>
    <w:bookmarkEnd w:id="84"/>
    <w:bookmarkStart w:id="88" w:name="Xd6511b1b6585925de2919b20c244f05b533908a"/>
    <w:p>
      <w:pPr>
        <w:pStyle w:val="Heading2"/>
      </w:pPr>
      <w:r>
        <w:t xml:space="preserve">Appendix E5: Race Ratios — Size Standardization</w:t>
      </w:r>
    </w:p>
    <w:p>
      <w:pPr>
        <w:pStyle w:val="FirstParagraph"/>
      </w:pPr>
      <w:r>
        <w:t xml:space="preserve">Appendix E5 compares Black / Non-Black wealth ratios when wealth is size-standardized by household and kin group size (main specification, left panels) versus unadjusted (middle panels). Panel A shows median wealth ratios and Panel B shows mean wealth ratios. Standardizing by size does not substantially change the estimated median wealth race ratios from 1984–2015. From 2015–2023, the difference between median wealth gaps at the kin group versus household level widen.</w:t>
      </w:r>
    </w:p>
    <w:p>
      <w:pPr>
        <w:pStyle w:val="BodyText"/>
      </w:pPr>
      <w:r>
        <w:drawing>
          <wp:inline>
            <wp:extent cx="5334000" cy="4191000"/>
            <wp:effectExtent b="0" l="0" r="0" t="0"/>
            <wp:docPr descr="" title="" id="86" name="Picture"/>
            <a:graphic>
              <a:graphicData uri="http://schemas.openxmlformats.org/drawingml/2006/picture">
                <pic:pic>
                  <pic:nvPicPr>
                    <pic:cNvPr descr="/Users/amanda/Desktop/clan_project/10_draft/output/write_files/figure-docx/appendix-e5-1.png" id="87" name="Picture"/>
                    <pic:cNvPicPr>
                      <a:picLocks noChangeArrowheads="1" noChangeAspect="1"/>
                    </pic:cNvPicPr>
                  </pic:nvPicPr>
                  <pic:blipFill>
                    <a:blip r:embed="rId85"/>
                    <a:stretch>
                      <a:fillRect/>
                    </a:stretch>
                  </pic:blipFill>
                  <pic:spPr bwMode="auto">
                    <a:xfrm>
                      <a:off x="0" y="0"/>
                      <a:ext cx="5334000" cy="4191000"/>
                    </a:xfrm>
                    <a:prstGeom prst="rect">
                      <a:avLst/>
                    </a:prstGeom>
                    <a:noFill/>
                    <a:ln w="9525">
                      <a:noFill/>
                      <a:headEnd/>
                      <a:tailEnd/>
                    </a:ln>
                  </pic:spPr>
                </pic:pic>
              </a:graphicData>
            </a:graphic>
          </wp:inline>
        </w:drawing>
      </w:r>
    </w:p>
    <w:bookmarkEnd w:id="88"/>
    <w:bookmarkStart w:id="182" w:name="appendix-e6-race-ratios-weighting"/>
    <w:p>
      <w:pPr>
        <w:pStyle w:val="Heading2"/>
      </w:pPr>
      <w:r>
        <w:t xml:space="preserve">Appendix E6: Race Ratios — Weighting</w:t>
      </w:r>
    </w:p>
    <w:p>
      <w:pPr>
        <w:pStyle w:val="FirstParagraph"/>
      </w:pPr>
      <w:r>
        <w:t xml:space="preserve">Appendix E6 shows Black / Non-Black wealth ratios using weighted estimates (main specification, left panels) versus unweighted estimates (middle panels). Panel A shows median wealth ratios and Panel B shows mean wealth ratios. Weighting does not substantially change the estimated race ratios.</w:t>
      </w:r>
    </w:p>
    <w:p>
      <w:pPr>
        <w:pStyle w:val="BodyText"/>
      </w:pPr>
      <w:r>
        <w:drawing>
          <wp:inline>
            <wp:extent cx="5334000" cy="4191000"/>
            <wp:effectExtent b="0" l="0" r="0" t="0"/>
            <wp:docPr descr="" title="" id="90" name="Picture"/>
            <a:graphic>
              <a:graphicData uri="http://schemas.openxmlformats.org/drawingml/2006/picture">
                <pic:pic>
                  <pic:nvPicPr>
                    <pic:cNvPr descr="/Users/amanda/Desktop/clan_project/10_draft/output/write_files/figure-docx/appendix-e6-1.png" id="91" name="Picture"/>
                    <pic:cNvPicPr>
                      <a:picLocks noChangeArrowheads="1" noChangeAspect="1"/>
                    </pic:cNvPicPr>
                  </pic:nvPicPr>
                  <pic:blipFill>
                    <a:blip r:embed="rId89"/>
                    <a:stretch>
                      <a:fillRect/>
                    </a:stretch>
                  </pic:blipFill>
                  <pic:spPr bwMode="auto">
                    <a:xfrm>
                      <a:off x="0" y="0"/>
                      <a:ext cx="5334000" cy="4191000"/>
                    </a:xfrm>
                    <a:prstGeom prst="rect">
                      <a:avLst/>
                    </a:prstGeom>
                    <a:noFill/>
                    <a:ln w="9525">
                      <a:noFill/>
                      <a:headEnd/>
                      <a:tailEnd/>
                    </a:ln>
                  </pic:spPr>
                </pic:pic>
              </a:graphicData>
            </a:graphic>
          </wp:inline>
        </w:drawing>
      </w:r>
    </w:p>
    <w:bookmarkStart w:id="181" w:name="refs"/>
    <w:bookmarkStart w:id="93"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92">
        <w:r>
          <w:rPr>
            <w:rStyle w:val="Hyperlink"/>
          </w:rPr>
          <w:t xml:space="preserve">https://fred.stlouisfed.org/series/SIPOVGINIUSA</w:t>
        </w:r>
      </w:hyperlink>
    </w:p>
    <w:bookmarkEnd w:id="93"/>
    <w:bookmarkStart w:id="95"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94">
        <w:r>
          <w:rPr>
            <w:rStyle w:val="Hyperlink"/>
          </w:rPr>
          <w:t xml:space="preserve">https://www.bakerinstitute.org/research/decline-us-wealth-and-income-inequality</w:t>
        </w:r>
      </w:hyperlink>
    </w:p>
    <w:bookmarkEnd w:id="95"/>
    <w:bookmarkStart w:id="98"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96">
        <w:r>
          <w:rPr>
            <w:rStyle w:val="Hyperlink"/>
          </w:rPr>
          <w:t xml:space="preserve">https://www.nber.org/papers/w33823</w:t>
        </w:r>
      </w:hyperlink>
      <w:r>
        <w:t xml:space="preserve">. doi:</w:t>
      </w:r>
      <w:hyperlink r:id="rId97">
        <w:r>
          <w:rPr>
            <w:rStyle w:val="Hyperlink"/>
          </w:rPr>
          <w:t xml:space="preserve">10.3386/w33823</w:t>
        </w:r>
      </w:hyperlink>
    </w:p>
    <w:bookmarkEnd w:id="98"/>
    <w:bookmarkStart w:id="101"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9">
        <w:r>
          <w:rPr>
            <w:rStyle w:val="Hyperlink"/>
          </w:rPr>
          <w:t xml:space="preserve">https://www.journals.uchicago.edu/doi/10.1086/728741</w:t>
        </w:r>
      </w:hyperlink>
      <w:r>
        <w:t xml:space="preserve">. doi:</w:t>
      </w:r>
      <w:hyperlink r:id="rId100">
        <w:r>
          <w:rPr>
            <w:rStyle w:val="Hyperlink"/>
          </w:rPr>
          <w:t xml:space="preserve">10.1086/728741</w:t>
        </w:r>
      </w:hyperlink>
    </w:p>
    <w:bookmarkEnd w:id="101"/>
    <w:bookmarkStart w:id="104"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102">
        <w:r>
          <w:rPr>
            <w:rStyle w:val="Hyperlink"/>
          </w:rPr>
          <w:t xml:space="preserve">https://www.annualreviews.org/doi/10.1146/annurev-soc-060116-053331</w:t>
        </w:r>
      </w:hyperlink>
      <w:r>
        <w:t xml:space="preserve">. doi:</w:t>
      </w:r>
      <w:hyperlink r:id="rId103">
        <w:r>
          <w:rPr>
            <w:rStyle w:val="Hyperlink"/>
          </w:rPr>
          <w:t xml:space="preserve">10.1146/annurev-soc-060116-053331</w:t>
        </w:r>
      </w:hyperlink>
    </w:p>
    <w:bookmarkEnd w:id="104"/>
    <w:bookmarkStart w:id="106"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105">
        <w:r>
          <w:rPr>
            <w:rStyle w:val="Hyperlink"/>
          </w:rPr>
          <w:t xml:space="preserve">https://doi.org/10.1093/qje/qjw004</w:t>
        </w:r>
      </w:hyperlink>
      <w:r>
        <w:t xml:space="preserve">. doi:</w:t>
      </w:r>
      <w:hyperlink r:id="rId105">
        <w:r>
          <w:rPr>
            <w:rStyle w:val="Hyperlink"/>
          </w:rPr>
          <w:t xml:space="preserve">10.1093/qje/qjw004</w:t>
        </w:r>
      </w:hyperlink>
    </w:p>
    <w:bookmarkEnd w:id="106"/>
    <w:bookmarkStart w:id="107"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107"/>
    <w:bookmarkStart w:id="109"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8">
        <w:r>
          <w:rPr>
            <w:rStyle w:val="Hyperlink"/>
          </w:rPr>
          <w:t xml:space="preserve">10.1037/11282-004</w:t>
        </w:r>
      </w:hyperlink>
    </w:p>
    <w:bookmarkEnd w:id="109"/>
    <w:bookmarkStart w:id="111"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10">
        <w:r>
          <w:rPr>
            <w:rStyle w:val="Hyperlink"/>
          </w:rPr>
          <w:t xml:space="preserve">https://doi.org/10.1007/s13524-018-0719-y</w:t>
        </w:r>
      </w:hyperlink>
      <w:r>
        <w:t xml:space="preserve">. doi:</w:t>
      </w:r>
      <w:hyperlink r:id="rId110">
        <w:r>
          <w:rPr>
            <w:rStyle w:val="Hyperlink"/>
          </w:rPr>
          <w:t xml:space="preserve">10.1007/s13524-018-0719-y</w:t>
        </w:r>
      </w:hyperlink>
    </w:p>
    <w:bookmarkEnd w:id="111"/>
    <w:bookmarkStart w:id="113"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12">
        <w:r>
          <w:rPr>
            <w:rStyle w:val="Hyperlink"/>
          </w:rPr>
          <w:t xml:space="preserve">https://doi.org/10.1007/s13524-011-0014-7</w:t>
        </w:r>
      </w:hyperlink>
      <w:r>
        <w:t xml:space="preserve">. doi:</w:t>
      </w:r>
      <w:hyperlink r:id="rId112">
        <w:r>
          <w:rPr>
            <w:rStyle w:val="Hyperlink"/>
          </w:rPr>
          <w:t xml:space="preserve">10.1007/s13524-011-0014-7</w:t>
        </w:r>
      </w:hyperlink>
    </w:p>
    <w:bookmarkEnd w:id="113"/>
    <w:bookmarkStart w:id="115"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14">
        <w:r>
          <w:rPr>
            <w:rStyle w:val="Hyperlink"/>
          </w:rPr>
          <w:t xml:space="preserve">https://doi.org/10.1093/ser/mwad033</w:t>
        </w:r>
      </w:hyperlink>
      <w:r>
        <w:t xml:space="preserve">. doi:</w:t>
      </w:r>
      <w:hyperlink r:id="rId114">
        <w:r>
          <w:rPr>
            <w:rStyle w:val="Hyperlink"/>
          </w:rPr>
          <w:t xml:space="preserve">10.1093/ser/mwad033</w:t>
        </w:r>
      </w:hyperlink>
    </w:p>
    <w:bookmarkEnd w:id="115"/>
    <w:bookmarkStart w:id="117"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16">
        <w:r>
          <w:rPr>
            <w:rStyle w:val="Hyperlink"/>
          </w:rPr>
          <w:t xml:space="preserve">https://doi.org/10.1177/00031224251319001</w:t>
        </w:r>
      </w:hyperlink>
      <w:r>
        <w:t xml:space="preserve">. doi:</w:t>
      </w:r>
      <w:hyperlink r:id="rId116">
        <w:r>
          <w:rPr>
            <w:rStyle w:val="Hyperlink"/>
          </w:rPr>
          <w:t xml:space="preserve">10.1177/00031224251319001</w:t>
        </w:r>
      </w:hyperlink>
    </w:p>
    <w:bookmarkEnd w:id="117"/>
    <w:bookmarkStart w:id="120" w:name="ref-alburez-gutierrez_projections_2023"/>
    <w:p>
      <w:pPr>
        <w:pStyle w:val="Bibliography"/>
      </w:pPr>
      <w:r>
        <w:t xml:space="preserve">[13]</w:t>
      </w:r>
      <w:r>
        <w:t xml:space="preserve"> </w:t>
      </w:r>
      <w:r>
        <w:t xml:space="preserve">	</w:t>
      </w:r>
      <w:r>
        <w:t xml:space="preserve">Alburez-Gutierrez D, Williams I, Caswell H. Projections of human kinship for all countries. Proceedings of the National Academy of Sciences. 2023 [accessed 2026 May 28];120(52):e2315722120.</w:t>
      </w:r>
      <w:r>
        <w:t xml:space="preserve"> </w:t>
      </w:r>
      <w:hyperlink r:id="rId118">
        <w:r>
          <w:rPr>
            <w:rStyle w:val="Hyperlink"/>
          </w:rPr>
          <w:t xml:space="preserve">https://www.pnas.org/doi/10.1073/pnas.2315722120</w:t>
        </w:r>
      </w:hyperlink>
      <w:r>
        <w:t xml:space="preserve">. doi:</w:t>
      </w:r>
      <w:hyperlink r:id="rId119">
        <w:r>
          <w:rPr>
            <w:rStyle w:val="Hyperlink"/>
          </w:rPr>
          <w:t xml:space="preserve">10.1073/pnas.2315722120</w:t>
        </w:r>
      </w:hyperlink>
    </w:p>
    <w:bookmarkEnd w:id="120"/>
    <w:bookmarkStart w:id="123" w:name="ref-adermon_dynastic_2021"/>
    <w:p>
      <w:pPr>
        <w:pStyle w:val="Bibliography"/>
      </w:pPr>
      <w:r>
        <w:t xml:space="preserve">[14]</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21">
        <w:r>
          <w:rPr>
            <w:rStyle w:val="Hyperlink"/>
          </w:rPr>
          <w:t xml:space="preserve">https://pubs.aeaweb.org/doi/10.1257/aer.20190553</w:t>
        </w:r>
      </w:hyperlink>
      <w:r>
        <w:t xml:space="preserve">. doi:</w:t>
      </w:r>
      <w:hyperlink r:id="rId122">
        <w:r>
          <w:rPr>
            <w:rStyle w:val="Hyperlink"/>
          </w:rPr>
          <w:t xml:space="preserve">10.1257/aer.20190553</w:t>
        </w:r>
      </w:hyperlink>
    </w:p>
    <w:bookmarkEnd w:id="123"/>
    <w:bookmarkStart w:id="126" w:name="ref-hallsten_shadow_2023"/>
    <w:p>
      <w:pPr>
        <w:pStyle w:val="Bibliography"/>
      </w:pPr>
      <w:r>
        <w:t xml:space="preserve">[15]</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24">
        <w:r>
          <w:rPr>
            <w:rStyle w:val="Hyperlink"/>
          </w:rPr>
          <w:t xml:space="preserve">https://www-journals-uchicago-edu.turing.library.northwestern.edu/doi/full/10.1086/724835</w:t>
        </w:r>
      </w:hyperlink>
      <w:r>
        <w:t xml:space="preserve">. doi:</w:t>
      </w:r>
      <w:hyperlink r:id="rId125">
        <w:r>
          <w:rPr>
            <w:rStyle w:val="Hyperlink"/>
          </w:rPr>
          <w:t xml:space="preserve">https://doi.org/10.1086/724835</w:t>
        </w:r>
      </w:hyperlink>
    </w:p>
    <w:bookmarkEnd w:id="126"/>
    <w:bookmarkStart w:id="128" w:name="ref-song_shared_2019"/>
    <w:p>
      <w:pPr>
        <w:pStyle w:val="Bibliography"/>
      </w:pPr>
      <w:r>
        <w:t xml:space="preserve">[16]</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27">
        <w:r>
          <w:rPr>
            <w:rStyle w:val="Hyperlink"/>
          </w:rPr>
          <w:t xml:space="preserve">10.1007/s13524-019-00772-8</w:t>
        </w:r>
      </w:hyperlink>
    </w:p>
    <w:bookmarkEnd w:id="128"/>
    <w:bookmarkStart w:id="130" w:name="ref-oliver_black_2013"/>
    <w:p>
      <w:pPr>
        <w:pStyle w:val="Bibliography"/>
      </w:pPr>
      <w:r>
        <w:t xml:space="preserve">[17]</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29">
        <w:r>
          <w:rPr>
            <w:rStyle w:val="Hyperlink"/>
          </w:rPr>
          <w:t xml:space="preserve">10.4324/9780203707425</w:t>
        </w:r>
      </w:hyperlink>
    </w:p>
    <w:bookmarkEnd w:id="130"/>
    <w:bookmarkStart w:id="133" w:name="ref-beckert_durable_2022"/>
    <w:p>
      <w:pPr>
        <w:pStyle w:val="Bibliography"/>
      </w:pPr>
      <w:r>
        <w:t xml:space="preserve">[18]</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31">
        <w:r>
          <w:rPr>
            <w:rStyle w:val="Hyperlink"/>
          </w:rPr>
          <w:t xml:space="preserve">https://www-annualreviews-org.turing.library.northwestern.edu/content/journals/10.1146/annurev-soc-030320-115024</w:t>
        </w:r>
      </w:hyperlink>
      <w:r>
        <w:t xml:space="preserve">. doi:</w:t>
      </w:r>
      <w:hyperlink r:id="rId132">
        <w:r>
          <w:rPr>
            <w:rStyle w:val="Hyperlink"/>
          </w:rPr>
          <w:t xml:space="preserve">doi.org/10.1146/annurev-soc-030320-115024</w:t>
        </w:r>
      </w:hyperlink>
    </w:p>
    <w:bookmarkEnd w:id="133"/>
    <w:bookmarkStart w:id="136" w:name="ref-obrien_structural_2020"/>
    <w:p>
      <w:pPr>
        <w:pStyle w:val="Bibliography"/>
      </w:pPr>
      <w:r>
        <w:t xml:space="preserve">[19]</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34">
        <w:r>
          <w:rPr>
            <w:rStyle w:val="Hyperlink"/>
          </w:rPr>
          <w:t xml:space="preserve">https://www.sciencedirect.com/science/article/pii/S2352827319303623</w:t>
        </w:r>
      </w:hyperlink>
      <w:r>
        <w:t xml:space="preserve">. doi:</w:t>
      </w:r>
      <w:hyperlink r:id="rId135">
        <w:r>
          <w:rPr>
            <w:rStyle w:val="Hyperlink"/>
          </w:rPr>
          <w:t xml:space="preserve">10.1016/j.ssmph.2020.100564</w:t>
        </w:r>
      </w:hyperlink>
    </w:p>
    <w:bookmarkEnd w:id="136"/>
    <w:bookmarkStart w:id="138" w:name="ref-pfeffer_wealth_2013"/>
    <w:p>
      <w:pPr>
        <w:pStyle w:val="Bibliography"/>
      </w:pPr>
      <w:r>
        <w:t xml:space="preserve">[20]</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37">
        <w:r>
          <w:rPr>
            <w:rStyle w:val="Hyperlink"/>
          </w:rPr>
          <w:t xml:space="preserve">10.1177/0002716213497452</w:t>
        </w:r>
      </w:hyperlink>
    </w:p>
    <w:bookmarkEnd w:id="138"/>
    <w:bookmarkStart w:id="139" w:name="ref-mckernan_less_2013"/>
    <w:p>
      <w:pPr>
        <w:pStyle w:val="Bibliography"/>
      </w:pPr>
      <w:r>
        <w:t xml:space="preserve">[21]</w:t>
      </w:r>
      <w:r>
        <w:t xml:space="preserve"> </w:t>
      </w:r>
      <w:r>
        <w:t xml:space="preserve">	</w:t>
      </w:r>
      <w:r>
        <w:t xml:space="preserve">McKernan S-M, Ratcliffe C, Steuerle E, Zhang S. Less than equal:</w:t>
      </w:r>
      <w:r>
        <w:t xml:space="preserve"> </w:t>
      </w:r>
      <w:r>
        <w:t xml:space="preserve">Racial</w:t>
      </w:r>
      <w:r>
        <w:t xml:space="preserve"> </w:t>
      </w:r>
      <w:r>
        <w:t xml:space="preserve">disparities in wealth accumulation. Washington D.C.: Urban Institute.; 2013.</w:t>
      </w:r>
    </w:p>
    <w:bookmarkEnd w:id="139"/>
    <w:bookmarkStart w:id="141" w:name="ref-schwartz_trends_2005"/>
    <w:p>
      <w:pPr>
        <w:pStyle w:val="Bibliography"/>
      </w:pPr>
      <w:r>
        <w:t xml:space="preserve">[22]</w:t>
      </w:r>
      <w:r>
        <w:t xml:space="preserve"> </w:t>
      </w:r>
      <w:r>
        <w:t xml:space="preserve">	</w:t>
      </w:r>
      <w:r>
        <w:t xml:space="preserve">Schwartz CR, Mare RD. Trends in educational assortative marriage from 1940 to 2003. Demography. 2005 [accessed 2026 May 28];42(4):621–646.</w:t>
      </w:r>
      <w:r>
        <w:t xml:space="preserve"> </w:t>
      </w:r>
      <w:hyperlink r:id="rId140">
        <w:r>
          <w:rPr>
            <w:rStyle w:val="Hyperlink"/>
          </w:rPr>
          <w:t xml:space="preserve">https://doi.org/10.1353/dem.2005.0036</w:t>
        </w:r>
      </w:hyperlink>
      <w:r>
        <w:t xml:space="preserve">. doi:</w:t>
      </w:r>
      <w:hyperlink r:id="rId140">
        <w:r>
          <w:rPr>
            <w:rStyle w:val="Hyperlink"/>
          </w:rPr>
          <w:t xml:space="preserve">10.1353/dem.2005.0036</w:t>
        </w:r>
      </w:hyperlink>
    </w:p>
    <w:bookmarkEnd w:id="141"/>
    <w:bookmarkStart w:id="143" w:name="ref-hallsten_grand_2017"/>
    <w:p>
      <w:pPr>
        <w:pStyle w:val="Bibliography"/>
      </w:pPr>
      <w:r>
        <w:t xml:space="preserve">[23]</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42">
        <w:r>
          <w:rPr>
            <w:rStyle w:val="Hyperlink"/>
          </w:rPr>
          <w:t xml:space="preserve">10.1177/0003122417695791</w:t>
        </w:r>
      </w:hyperlink>
    </w:p>
    <w:bookmarkEnd w:id="143"/>
    <w:bookmarkStart w:id="144" w:name="ref-insolera_overview_2021"/>
    <w:p>
      <w:pPr>
        <w:pStyle w:val="Bibliography"/>
      </w:pPr>
      <w:r>
        <w:t xml:space="preserve">[24]</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44"/>
    <w:bookmarkStart w:id="146" w:name="ref-pfeffer_measuring_2016"/>
    <w:p>
      <w:pPr>
        <w:pStyle w:val="Bibliography"/>
      </w:pPr>
      <w:r>
        <w:t xml:space="preserve">[25]</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45">
        <w:r>
          <w:rPr>
            <w:rStyle w:val="Hyperlink"/>
          </w:rPr>
          <w:t xml:space="preserve">10.3233/JEM-160421</w:t>
        </w:r>
      </w:hyperlink>
    </w:p>
    <w:bookmarkEnd w:id="146"/>
    <w:bookmarkStart w:id="148" w:name="ref-mckernan_racial_2014"/>
    <w:p>
      <w:pPr>
        <w:pStyle w:val="Bibliography"/>
      </w:pPr>
      <w:r>
        <w:t xml:space="preserve">[26]</w:t>
      </w:r>
      <w:r>
        <w:t xml:space="preserve"> </w:t>
      </w:r>
      <w:r>
        <w:t xml:space="preserve">	</w:t>
      </w:r>
      <w:r>
        <w:t xml:space="preserve">McKernan S-M, Ratcliffe C, Simms M, Zhang S. Do</w:t>
      </w:r>
      <w:r>
        <w:t xml:space="preserve"> </w:t>
      </w:r>
      <w:r>
        <w:t xml:space="preserve">Racial</w:t>
      </w:r>
      <w:r>
        <w:t xml:space="preserve"> </w:t>
      </w:r>
      <w:r>
        <w:t xml:space="preserve">Disparities</w:t>
      </w:r>
      <w:r>
        <w:t xml:space="preserve"> </w:t>
      </w:r>
      <w:r>
        <w:t xml:space="preserve">in</w:t>
      </w:r>
      <w:r>
        <w:t xml:space="preserve"> </w:t>
      </w:r>
      <w:r>
        <w:t xml:space="preserve">Private</w:t>
      </w:r>
      <w:r>
        <w:t xml:space="preserve"> </w:t>
      </w:r>
      <w:r>
        <w:t xml:space="preserve">Transfers</w:t>
      </w:r>
      <w:r>
        <w:t xml:space="preserve"> </w:t>
      </w:r>
      <w:r>
        <w:t xml:space="preserve">Help</w:t>
      </w:r>
      <w:r>
        <w:t xml:space="preserve"> </w:t>
      </w:r>
      <w:r>
        <w:t xml:space="preserve">Explain</w:t>
      </w:r>
      <w:r>
        <w:t xml:space="preserve"> </w:t>
      </w:r>
      <w:r>
        <w:t xml:space="preserve">the</w:t>
      </w:r>
      <w:r>
        <w:t xml:space="preserve"> </w:t>
      </w:r>
      <w:r>
        <w:t xml:space="preserve">Racial</w:t>
      </w:r>
      <w:r>
        <w:t xml:space="preserve"> </w:t>
      </w:r>
      <w:r>
        <w:t xml:space="preserve">Wealth</w:t>
      </w:r>
      <w:r>
        <w:t xml:space="preserve"> </w:t>
      </w:r>
      <w:r>
        <w:t xml:space="preserve">Gap</w:t>
      </w:r>
      <w:r>
        <w:t xml:space="preserve">?</w:t>
      </w:r>
      <w:r>
        <w:t xml:space="preserve"> </w:t>
      </w:r>
      <w:r>
        <w:t xml:space="preserve">New</w:t>
      </w:r>
      <w:r>
        <w:t xml:space="preserve"> </w:t>
      </w:r>
      <w:r>
        <w:t xml:space="preserve">Evidence</w:t>
      </w:r>
      <w:r>
        <w:t xml:space="preserve"> </w:t>
      </w:r>
      <w:r>
        <w:t xml:space="preserve">From</w:t>
      </w:r>
      <w:r>
        <w:t xml:space="preserve"> </w:t>
      </w:r>
      <w:r>
        <w:t xml:space="preserve">Longitudinal</w:t>
      </w:r>
      <w:r>
        <w:t xml:space="preserve"> </w:t>
      </w:r>
      <w:r>
        <w:t xml:space="preserve">Data</w:t>
      </w:r>
      <w:r>
        <w:t xml:space="preserve">. Demography. 2014 [accessed 2026 Apr 13];51(3):949–974.</w:t>
      </w:r>
      <w:r>
        <w:t xml:space="preserve"> </w:t>
      </w:r>
      <w:hyperlink r:id="rId147">
        <w:r>
          <w:rPr>
            <w:rStyle w:val="Hyperlink"/>
          </w:rPr>
          <w:t xml:space="preserve">https://doi.org/10.1007/s13524-014-0296-7</w:t>
        </w:r>
      </w:hyperlink>
      <w:r>
        <w:t xml:space="preserve">. doi:</w:t>
      </w:r>
      <w:hyperlink r:id="rId147">
        <w:r>
          <w:rPr>
            <w:rStyle w:val="Hyperlink"/>
          </w:rPr>
          <w:t xml:space="preserve">10.1007/s13524-014-0296-7</w:t>
        </w:r>
      </w:hyperlink>
    </w:p>
    <w:bookmarkEnd w:id="148"/>
    <w:bookmarkStart w:id="150" w:name="ref-kochhar_wealth_2011"/>
    <w:p>
      <w:pPr>
        <w:pStyle w:val="Bibliography"/>
      </w:pPr>
      <w:r>
        <w:t xml:space="preserve">[27]</w:t>
      </w:r>
      <w:r>
        <w:t xml:space="preserve"> </w:t>
      </w:r>
      <w:r>
        <w:t xml:space="preserve">	</w:t>
      </w:r>
      <w:r>
        <w:t xml:space="preserve">Kochhar R. Wealth</w:t>
      </w:r>
      <w:r>
        <w:t xml:space="preserve"> </w:t>
      </w:r>
      <w:r>
        <w:t xml:space="preserve">Gaps</w:t>
      </w:r>
      <w:r>
        <w:t xml:space="preserve"> </w:t>
      </w:r>
      <w:r>
        <w:t xml:space="preserve">Rise</w:t>
      </w:r>
      <w:r>
        <w:t xml:space="preserve"> </w:t>
      </w:r>
      <w:r>
        <w:t xml:space="preserve">to</w:t>
      </w:r>
      <w:r>
        <w:t xml:space="preserve"> </w:t>
      </w:r>
      <w:r>
        <w:t xml:space="preserve">Record</w:t>
      </w:r>
      <w:r>
        <w:t xml:space="preserve"> </w:t>
      </w:r>
      <w:r>
        <w:t xml:space="preserve">Highs</w:t>
      </w:r>
      <w:r>
        <w:t xml:space="preserve"> </w:t>
      </w:r>
      <w:r>
        <w:t xml:space="preserve">Between</w:t>
      </w:r>
      <w:r>
        <w:t xml:space="preserve"> </w:t>
      </w:r>
      <w:r>
        <w:t xml:space="preserve">Whites</w:t>
      </w:r>
      <w:r>
        <w:t xml:space="preserve">,</w:t>
      </w:r>
      <w:r>
        <w:t xml:space="preserve"> </w:t>
      </w:r>
      <w:r>
        <w:t xml:space="preserve">Blacks</w:t>
      </w:r>
      <w:r>
        <w:t xml:space="preserve">,</w:t>
      </w:r>
      <w:r>
        <w:t xml:space="preserve"> </w:t>
      </w:r>
      <w:r>
        <w:t xml:space="preserve">Hispanics</w:t>
      </w:r>
      <w:r>
        <w:t xml:space="preserve">. Pew Research Center. 2011 [accessed 2026 Apr 13].</w:t>
      </w:r>
      <w:r>
        <w:t xml:space="preserve"> </w:t>
      </w:r>
      <w:hyperlink r:id="rId149">
        <w:r>
          <w:rPr>
            <w:rStyle w:val="Hyperlink"/>
          </w:rPr>
          <w:t xml:space="preserve">https://www.pewresearch.org/social-trends/2011/07/26/wealth-gaps-rise-to-record-highs-between-whites-blacks-hispanics/</w:t>
        </w:r>
      </w:hyperlink>
    </w:p>
    <w:bookmarkEnd w:id="150"/>
    <w:bookmarkStart w:id="151" w:name="ref-pfeffer_determinants_2017"/>
    <w:p>
      <w:pPr>
        <w:pStyle w:val="Bibliography"/>
      </w:pPr>
      <w:r>
        <w:t xml:space="preserve">[28]</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51"/>
    <w:bookmarkStart w:id="154" w:name="ref-rapp_economies_2025"/>
    <w:p>
      <w:pPr>
        <w:pStyle w:val="Bibliography"/>
      </w:pPr>
      <w:r>
        <w:t xml:space="preserve">[29]</w:t>
      </w:r>
      <w:r>
        <w:t xml:space="preserve"> </w:t>
      </w:r>
      <w:r>
        <w:t xml:space="preserve">	</w:t>
      </w:r>
      <w:r>
        <w:t xml:space="preserve">Rapp S. Economies of</w:t>
      </w:r>
      <w:r>
        <w:t xml:space="preserve"> </w:t>
      </w:r>
      <w:r>
        <w:t xml:space="preserve">Scale</w:t>
      </w:r>
      <w:r>
        <w:t xml:space="preserve"> </w:t>
      </w:r>
      <w:r>
        <w:t xml:space="preserve">for</w:t>
      </w:r>
      <w:r>
        <w:t xml:space="preserve"> </w:t>
      </w:r>
      <w:r>
        <w:t xml:space="preserve">Household</w:t>
      </w:r>
      <w:r>
        <w:t xml:space="preserve"> </w:t>
      </w:r>
      <w:r>
        <w:t xml:space="preserve">Wealth</w:t>
      </w:r>
      <w:r>
        <w:t xml:space="preserve">:</w:t>
      </w:r>
      <w:r>
        <w:t xml:space="preserve"> </w:t>
      </w:r>
      <w:r>
        <w:t xml:space="preserve">An</w:t>
      </w:r>
      <w:r>
        <w:t xml:space="preserve"> </w:t>
      </w:r>
      <w:r>
        <w:t xml:space="preserve">Analysis</w:t>
      </w:r>
      <w:r>
        <w:t xml:space="preserve"> </w:t>
      </w:r>
      <w:r>
        <w:t xml:space="preserve">of</w:t>
      </w:r>
      <w:r>
        <w:t xml:space="preserve"> </w:t>
      </w:r>
      <w:r>
        <w:t xml:space="preserve">Equivalence</w:t>
      </w:r>
      <w:r>
        <w:t xml:space="preserve"> </w:t>
      </w:r>
      <w:r>
        <w:t xml:space="preserve">Scales</w:t>
      </w:r>
      <w:r>
        <w:t xml:space="preserve">. Review of Income and Wealth. 2025 [accessed 2026 May 28];71(1):e70002.</w:t>
      </w:r>
      <w:r>
        <w:t xml:space="preserve"> </w:t>
      </w:r>
      <w:hyperlink r:id="rId152">
        <w:r>
          <w:rPr>
            <w:rStyle w:val="Hyperlink"/>
          </w:rPr>
          <w:t xml:space="preserve">https://onlinelibrary.wiley.com/doi/abs/10.1111/roiw.70002</w:t>
        </w:r>
      </w:hyperlink>
      <w:r>
        <w:t xml:space="preserve">. doi:</w:t>
      </w:r>
      <w:hyperlink r:id="rId153">
        <w:r>
          <w:rPr>
            <w:rStyle w:val="Hyperlink"/>
          </w:rPr>
          <w:t xml:space="preserve">10.1111/roiw.70002</w:t>
        </w:r>
      </w:hyperlink>
    </w:p>
    <w:bookmarkEnd w:id="154"/>
    <w:bookmarkStart w:id="157" w:name="ref-corak_income_2013"/>
    <w:p>
      <w:pPr>
        <w:pStyle w:val="Bibliography"/>
      </w:pPr>
      <w:r>
        <w:t xml:space="preserve">[30]</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55">
        <w:r>
          <w:rPr>
            <w:rStyle w:val="Hyperlink"/>
          </w:rPr>
          <w:t xml:space="preserve">https://www.aeaweb.org/articles?id=10.1257/jep.27.3.79</w:t>
        </w:r>
      </w:hyperlink>
      <w:r>
        <w:t xml:space="preserve">. doi:</w:t>
      </w:r>
      <w:hyperlink r:id="rId156">
        <w:r>
          <w:rPr>
            <w:rStyle w:val="Hyperlink"/>
          </w:rPr>
          <w:t xml:space="preserve">10.1257/jep.27.3.79</w:t>
        </w:r>
      </w:hyperlink>
    </w:p>
    <w:bookmarkEnd w:id="157"/>
    <w:bookmarkStart w:id="159" w:name="ref-jerrim_income_2015"/>
    <w:p>
      <w:pPr>
        <w:pStyle w:val="Bibliography"/>
      </w:pPr>
      <w:r>
        <w:t xml:space="preserve">[31]</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58">
        <w:r>
          <w:rPr>
            <w:rStyle w:val="Hyperlink"/>
          </w:rPr>
          <w:t xml:space="preserve">10.1093/sf/sov075</w:t>
        </w:r>
      </w:hyperlink>
    </w:p>
    <w:bookmarkEnd w:id="159"/>
    <w:bookmarkStart w:id="161" w:name="ref-ermisch_parents_2012"/>
    <w:p>
      <w:pPr>
        <w:pStyle w:val="Bibliography"/>
      </w:pPr>
      <w:r>
        <w:t xml:space="preserve">[32]</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60">
        <w:r>
          <w:rPr>
            <w:rStyle w:val="Hyperlink"/>
          </w:rPr>
          <w:t xml:space="preserve">https://www.jstor.org/stable/10.7758/9781610447805</w:t>
        </w:r>
      </w:hyperlink>
    </w:p>
    <w:bookmarkEnd w:id="161"/>
    <w:bookmarkStart w:id="164" w:name="ref-si_multiple_2021"/>
    <w:p>
      <w:pPr>
        <w:pStyle w:val="Bibliography"/>
      </w:pPr>
      <w:r>
        <w:t xml:space="preserve">[33]</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62">
        <w:r>
          <w:rPr>
            <w:rStyle w:val="Hyperlink"/>
          </w:rPr>
          <w:t xml:space="preserve">https://www.ncbi.nlm.nih.gov/pmc/articles/PMC9874997/</w:t>
        </w:r>
      </w:hyperlink>
      <w:r>
        <w:t xml:space="preserve">. doi:</w:t>
      </w:r>
      <w:hyperlink r:id="rId163">
        <w:r>
          <w:rPr>
            <w:rStyle w:val="Hyperlink"/>
          </w:rPr>
          <w:t xml:space="preserve">10.1093/jssam/smab038</w:t>
        </w:r>
      </w:hyperlink>
    </w:p>
    <w:bookmarkEnd w:id="164"/>
    <w:bookmarkStart w:id="165" w:name="ref-sayer_women_2004"/>
    <w:p>
      <w:pPr>
        <w:pStyle w:val="Bibliography"/>
      </w:pPr>
      <w:r>
        <w:t xml:space="preserve">[34]</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65"/>
    <w:bookmarkStart w:id="168" w:name="ref-atkinson_measurement_1970"/>
    <w:p>
      <w:pPr>
        <w:pStyle w:val="Bibliography"/>
      </w:pPr>
      <w:r>
        <w:t xml:space="preserve">[35]</w:t>
      </w:r>
      <w:r>
        <w:t xml:space="preserve"> </w:t>
      </w:r>
      <w:r>
        <w:t xml:space="preserve">	</w:t>
      </w:r>
      <w:r>
        <w:t xml:space="preserve">Atkinson AB. On the measurement of inequality. Journal of Economic Theory. 1970 [accessed 2025 July 18];2(3):244–263.</w:t>
      </w:r>
      <w:r>
        <w:t xml:space="preserve"> </w:t>
      </w:r>
      <w:hyperlink r:id="rId166">
        <w:r>
          <w:rPr>
            <w:rStyle w:val="Hyperlink"/>
          </w:rPr>
          <w:t xml:space="preserve">https://www.sciencedirect.com/science/article/pii/0022053170900396</w:t>
        </w:r>
      </w:hyperlink>
      <w:r>
        <w:t xml:space="preserve">. doi:</w:t>
      </w:r>
      <w:hyperlink r:id="rId167">
        <w:r>
          <w:rPr>
            <w:rStyle w:val="Hyperlink"/>
          </w:rPr>
          <w:t xml:space="preserve">10.1016/0022-0531(70)90039-6</w:t>
        </w:r>
      </w:hyperlink>
    </w:p>
    <w:bookmarkEnd w:id="168"/>
    <w:bookmarkStart w:id="171" w:name="ref-de_maio_income_2007"/>
    <w:p>
      <w:pPr>
        <w:pStyle w:val="Bibliography"/>
      </w:pPr>
      <w:r>
        <w:t xml:space="preserve">[36]</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69">
        <w:r>
          <w:rPr>
            <w:rStyle w:val="Hyperlink"/>
          </w:rPr>
          <w:t xml:space="preserve">https://www.ncbi.nlm.nih.gov/pmc/articles/PMC2652960/</w:t>
        </w:r>
      </w:hyperlink>
      <w:r>
        <w:t xml:space="preserve">. doi:</w:t>
      </w:r>
      <w:hyperlink r:id="rId170">
        <w:r>
          <w:rPr>
            <w:rStyle w:val="Hyperlink"/>
          </w:rPr>
          <w:t xml:space="preserve">10.1136/jech.2006.052969</w:t>
        </w:r>
      </w:hyperlink>
    </w:p>
    <w:bookmarkEnd w:id="171"/>
    <w:bookmarkStart w:id="174" w:name="ref-kawachi_relationship_1997"/>
    <w:p>
      <w:pPr>
        <w:pStyle w:val="Bibliography"/>
      </w:pPr>
      <w:r>
        <w:t xml:space="preserve">[37]</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72">
        <w:r>
          <w:rPr>
            <w:rStyle w:val="Hyperlink"/>
          </w:rPr>
          <w:t xml:space="preserve">https://www.sciencedirect.com/science/article/pii/S0277953697000440</w:t>
        </w:r>
      </w:hyperlink>
      <w:r>
        <w:t xml:space="preserve">. doi:</w:t>
      </w:r>
      <w:hyperlink r:id="rId173">
        <w:r>
          <w:rPr>
            <w:rStyle w:val="Hyperlink"/>
          </w:rPr>
          <w:t xml:space="preserve">10.1016/S0277-9536(97)00044-0</w:t>
        </w:r>
      </w:hyperlink>
    </w:p>
    <w:bookmarkEnd w:id="174"/>
    <w:bookmarkStart w:id="177" w:name="ref-aaberge_ginis_2007"/>
    <w:p>
      <w:pPr>
        <w:pStyle w:val="Bibliography"/>
      </w:pPr>
      <w:r>
        <w:t xml:space="preserve">[38]</w:t>
      </w:r>
      <w:r>
        <w:t xml:space="preserve"> </w:t>
      </w:r>
      <w:r>
        <w:t xml:space="preserve">	</w:t>
      </w:r>
      <w:r>
        <w:t xml:space="preserve">Aaberge R. Gini’s nuclear family. Journal of Economic Inequality. 2007 [accessed 2025 Dec 16];5(3):305–322.</w:t>
      </w:r>
      <w:r>
        <w:t xml:space="preserve"> </w:t>
      </w:r>
      <w:hyperlink r:id="rId175">
        <w:r>
          <w:rPr>
            <w:rStyle w:val="Hyperlink"/>
          </w:rPr>
          <w:t xml:space="preserve">https://research.ebsco.com/linkprocessor/plink?id=183a0f60-6b65-3238-9faf-59d099fff528</w:t>
        </w:r>
      </w:hyperlink>
      <w:r>
        <w:t xml:space="preserve">. doi:</w:t>
      </w:r>
      <w:hyperlink r:id="rId176">
        <w:r>
          <w:rPr>
            <w:rStyle w:val="Hyperlink"/>
          </w:rPr>
          <w:t xml:space="preserve">10.1007/s10888-006-9050-8</w:t>
        </w:r>
      </w:hyperlink>
    </w:p>
    <w:bookmarkEnd w:id="177"/>
    <w:bookmarkStart w:id="179" w:name="ref-census_table_2025"/>
    <w:p>
      <w:pPr>
        <w:pStyle w:val="Bibliography"/>
      </w:pPr>
      <w:r>
        <w:t xml:space="preserve">[39]</w:t>
      </w:r>
      <w:r>
        <w:t xml:space="preserve"> </w:t>
      </w:r>
      <w:r>
        <w:t xml:space="preserve">	</w:t>
      </w:r>
      <w:r>
        <w:t xml:space="preserve">Census. 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 2025.</w:t>
      </w:r>
      <w:r>
        <w:t xml:space="preserve"> </w:t>
      </w:r>
      <w:hyperlink r:id="rId178">
        <w:r>
          <w:rPr>
            <w:rStyle w:val="Hyperlink"/>
          </w:rPr>
          <w:t xml:space="preserve">https://www.census.gov/data/tables/time-series/demo/income-poverty/historical-income-inequality.html</w:t>
        </w:r>
      </w:hyperlink>
    </w:p>
    <w:bookmarkEnd w:id="179"/>
    <w:bookmarkStart w:id="180" w:name="ref-wolff_size_209"/>
    <w:p>
      <w:pPr>
        <w:pStyle w:val="Bibliography"/>
      </w:pPr>
      <w:r>
        <w:t xml:space="preserve">[40]</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80"/>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2">
    <w:p>
      <w:pPr>
        <w:pStyle w:val="FootnoteText"/>
      </w:pPr>
      <w:r>
        <w:rPr>
          <w:rStyle w:val="FootnoteReference"/>
        </w:rPr>
        <w:footnoteRef/>
      </w:r>
      <w:r>
        <w:t xml:space="preserve"> </w:t>
      </w:r>
      <w:r>
        <w:t xml:space="preserve">On average, kin groups in the income sample include 3.6 households (SD = 2.3). In the wealth sample, kin groups include an average of 4.2 households (SD = 2.9). A more detailed discussion of kin group and household size is provided in the Materials and Methods section.</w:t>
      </w:r>
    </w:p>
  </w:footnote>
  <w:footnote w:id="25">
    <w:p>
      <w:pPr>
        <w:pStyle w:val="FootnoteText"/>
      </w:pPr>
      <w:r>
        <w:rPr>
          <w:rStyle w:val="FootnoteReference"/>
        </w:rPr>
        <w:footnoteRef/>
      </w:r>
      <w:r>
        <w:t xml:space="preserve"> </w:t>
      </w:r>
      <w:r>
        <w:t xml:space="preserve">The prevalence of single-household kin grouos dropped by 75% between 1969 and 1980. However, overall trends remain similar regardless of whether this earlier period is excluded.</w:t>
      </w:r>
    </w:p>
  </w:footnote>
  <w:footnote w:id="26">
    <w:p>
      <w:pPr>
        <w:pStyle w:val="FootnoteText"/>
      </w:pPr>
      <w:r>
        <w:rPr>
          <w:rStyle w:val="FootnoteReference"/>
        </w:rPr>
        <w:footnoteRef/>
      </w:r>
      <w:r>
        <w:t xml:space="preserve"> </w:t>
      </w:r>
      <w:r>
        <w:t xml:space="preserve">Kin group and household sizes are calculated using the weighted mean.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Group Gini: An Extended Family Approach to Income and Wealth Inequality in the U.S.</dc:title>
  <dc:creator>Doron Shiffer-Sebba, Amanda Buechele, Julia A. Behrman, Limor Gabay Egozi</dc:creator>
  <cp:keywords>put keywords here</cp:keywords>
  <dcterms:created xsi:type="dcterms:W3CDTF">2026-05-28T15:58:50Z</dcterms:created>
  <dcterms:modified xsi:type="dcterms:W3CDTF">2026-05-28T15:58:50Z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May 28,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