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0.418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0.358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0.878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0.740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0.833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0.709</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0.022)</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88,218 Black household-years and 21,685 Black clan-years, and 143,443 Non-Black household-years and 40,997 Non-Black clan-years, with 2,892 unique clans in total; 964 clans ever classified as Black and 1,989 clans ever classified as Non-Black, including 61 clans appearing in both groups across years. Wealth estimates use 42,505 Black household-years and 8,080 Black clan-years, and 69,920 Non-Black household-years and 16,965 Non-Black clan-years, with 2,622 unique clans in total; 825 clans ever classified as Black and 1,839 clans ever classified as Non-Black, including 42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2025-12-18T13:43:55Z</dcterms:modified>
  <cp:category/>
</cp:coreProperties>
</file>