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0869" w14:textId="77777777" w:rsidR="00D7012E" w:rsidRDefault="00D7012E"/>
    <w:p w14:paraId="5D276136" w14:textId="77777777" w:rsidR="00D7012E" w:rsidRDefault="00000000">
      <w:pPr>
        <w:pStyle w:val="TableCaption"/>
        <w:keepNext/>
        <w:pBdr>
          <w:top w:val="none" w:sz="0" w:space="0" w:color="000000"/>
          <w:left w:val="none" w:sz="0" w:space="0" w:color="000000"/>
          <w:bottom w:val="none" w:sz="0" w:space="0" w:color="000000"/>
          <w:right w:val="none" w:sz="0" w:space="0" w:color="000000"/>
        </w:pBdr>
        <w:spacing w:before="60" w:after="60"/>
        <w:ind w:left="60" w:right="60"/>
      </w:pPr>
      <w:r>
        <w:t>Figure 1. Average Gini Coefficients for Households and Clans, 1969–2021</w:t>
      </w:r>
    </w:p>
    <w:tbl>
      <w:tblPr>
        <w:tblW w:w="0" w:type="auto"/>
        <w:jc w:val="center"/>
        <w:tblLayout w:type="fixed"/>
        <w:tblLook w:val="0420" w:firstRow="1" w:lastRow="0" w:firstColumn="0" w:lastColumn="0" w:noHBand="0" w:noVBand="1"/>
      </w:tblPr>
      <w:tblGrid>
        <w:gridCol w:w="1132"/>
        <w:gridCol w:w="1652"/>
        <w:gridCol w:w="1652"/>
      </w:tblGrid>
      <w:tr w:rsidR="00D7012E" w14:paraId="7D7F7FBC" w14:textId="77777777">
        <w:trPr>
          <w:tblHeader/>
          <w:jc w:val="center"/>
        </w:trPr>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C92FE1" w14:textId="77777777" w:rsidR="00D7012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rPr>
            </w:pPr>
            <w:r>
              <w:rPr>
                <w:rFonts w:ascii="Helvetica" w:eastAsia="Helvetica" w:hAnsi="Helvetica" w:cs="Helvetica"/>
                <w:b/>
                <w:color w:val="000000"/>
              </w:rPr>
              <w:t>Unit</w:t>
            </w:r>
          </w:p>
        </w:tc>
        <w:tc>
          <w:tcPr>
            <w:tcW w:w="16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EADB8" w14:textId="77777777" w:rsidR="00D7012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rPr>
            </w:pPr>
            <w:r>
              <w:rPr>
                <w:rFonts w:ascii="Helvetica" w:eastAsia="Helvetica" w:hAnsi="Helvetica" w:cs="Helvetica"/>
                <w:b/>
                <w:color w:val="000000"/>
              </w:rPr>
              <w:t>Households</w:t>
            </w:r>
          </w:p>
        </w:tc>
        <w:tc>
          <w:tcPr>
            <w:tcW w:w="16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B43A9" w14:textId="77777777" w:rsidR="00D7012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rPr>
            </w:pPr>
            <w:r>
              <w:rPr>
                <w:rFonts w:ascii="Helvetica" w:eastAsia="Helvetica" w:hAnsi="Helvetica" w:cs="Helvetica"/>
                <w:b/>
                <w:color w:val="000000"/>
              </w:rPr>
              <w:t>Clans</w:t>
            </w:r>
          </w:p>
        </w:tc>
      </w:tr>
      <w:tr w:rsidR="00D7012E" w14:paraId="1B70ED8C" w14:textId="77777777">
        <w:trPr>
          <w:jc w:val="center"/>
        </w:trPr>
        <w:tc>
          <w:tcPr>
            <w:tcW w:w="113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544B3B" w14:textId="77777777" w:rsidR="00D7012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0"/>
                <w:szCs w:val="20"/>
              </w:rPr>
            </w:pPr>
            <w:r>
              <w:rPr>
                <w:rFonts w:ascii="Helvetica" w:eastAsia="Helvetica" w:hAnsi="Helvetica" w:cs="Helvetica"/>
                <w:color w:val="000000"/>
                <w:sz w:val="20"/>
                <w:szCs w:val="20"/>
              </w:rPr>
              <w:t>Income</w:t>
            </w:r>
          </w:p>
        </w:tc>
        <w:tc>
          <w:tcPr>
            <w:tcW w:w="165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D6DA8A" w14:textId="77777777" w:rsidR="00D7012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0"/>
                <w:szCs w:val="20"/>
              </w:rPr>
            </w:pPr>
            <w:r>
              <w:rPr>
                <w:rFonts w:ascii="Helvetica" w:eastAsia="Helvetica" w:hAnsi="Helvetica" w:cs="Helvetica"/>
                <w:color w:val="000000"/>
                <w:sz w:val="20"/>
                <w:szCs w:val="20"/>
              </w:rPr>
              <w:t>0.430</w:t>
            </w:r>
            <w:r>
              <w:rPr>
                <w:rFonts w:ascii="Helvetica" w:eastAsia="Helvetica" w:hAnsi="Helvetica" w:cs="Helvetica"/>
                <w:color w:val="000000"/>
                <w:sz w:val="20"/>
                <w:szCs w:val="20"/>
              </w:rPr>
              <w:br/>
              <w:t>(SE = 0.008)</w:t>
            </w:r>
          </w:p>
        </w:tc>
        <w:tc>
          <w:tcPr>
            <w:tcW w:w="165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8AE49A" w14:textId="77777777" w:rsidR="00D7012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0"/>
                <w:szCs w:val="20"/>
              </w:rPr>
            </w:pPr>
            <w:r>
              <w:rPr>
                <w:rFonts w:ascii="Helvetica" w:eastAsia="Helvetica" w:hAnsi="Helvetica" w:cs="Helvetica"/>
                <w:color w:val="000000"/>
                <w:sz w:val="20"/>
                <w:szCs w:val="20"/>
              </w:rPr>
              <w:t>0.367</w:t>
            </w:r>
            <w:r>
              <w:rPr>
                <w:rFonts w:ascii="Helvetica" w:eastAsia="Helvetica" w:hAnsi="Helvetica" w:cs="Helvetica"/>
                <w:color w:val="000000"/>
                <w:sz w:val="20"/>
                <w:szCs w:val="20"/>
              </w:rPr>
              <w:br/>
              <w:t>(SE = 0.009)</w:t>
            </w:r>
          </w:p>
        </w:tc>
      </w:tr>
      <w:tr w:rsidR="00D7012E" w14:paraId="7D32027D" w14:textId="77777777">
        <w:trPr>
          <w:jc w:val="center"/>
        </w:trPr>
        <w:tc>
          <w:tcPr>
            <w:tcW w:w="113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55C23D" w14:textId="77777777" w:rsidR="00D7012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0"/>
                <w:szCs w:val="20"/>
              </w:rPr>
            </w:pPr>
            <w:r>
              <w:rPr>
                <w:rFonts w:ascii="Helvetica" w:eastAsia="Helvetica" w:hAnsi="Helvetica" w:cs="Helvetica"/>
                <w:color w:val="000000"/>
                <w:sz w:val="20"/>
                <w:szCs w:val="20"/>
              </w:rPr>
              <w:t>Wealth</w:t>
            </w:r>
          </w:p>
        </w:tc>
        <w:tc>
          <w:tcPr>
            <w:tcW w:w="165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0988B6" w14:textId="77777777" w:rsidR="00D7012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0"/>
                <w:szCs w:val="20"/>
              </w:rPr>
            </w:pPr>
            <w:r>
              <w:rPr>
                <w:rFonts w:ascii="Helvetica" w:eastAsia="Helvetica" w:hAnsi="Helvetica" w:cs="Helvetica"/>
                <w:color w:val="000000"/>
                <w:sz w:val="20"/>
                <w:szCs w:val="20"/>
              </w:rPr>
              <w:t>0.848</w:t>
            </w:r>
            <w:r>
              <w:rPr>
                <w:rFonts w:ascii="Helvetica" w:eastAsia="Helvetica" w:hAnsi="Helvetica" w:cs="Helvetica"/>
                <w:color w:val="000000"/>
                <w:sz w:val="20"/>
                <w:szCs w:val="20"/>
              </w:rPr>
              <w:br/>
              <w:t>(SE = 0.011)</w:t>
            </w:r>
          </w:p>
        </w:tc>
        <w:tc>
          <w:tcPr>
            <w:tcW w:w="165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CE6CD6" w14:textId="77777777" w:rsidR="00D7012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0"/>
                <w:szCs w:val="20"/>
              </w:rPr>
            </w:pPr>
            <w:r>
              <w:rPr>
                <w:rFonts w:ascii="Helvetica" w:eastAsia="Helvetica" w:hAnsi="Helvetica" w:cs="Helvetica"/>
                <w:color w:val="000000"/>
                <w:sz w:val="20"/>
                <w:szCs w:val="20"/>
              </w:rPr>
              <w:t>0.728</w:t>
            </w:r>
            <w:r>
              <w:rPr>
                <w:rFonts w:ascii="Helvetica" w:eastAsia="Helvetica" w:hAnsi="Helvetica" w:cs="Helvetica"/>
                <w:color w:val="000000"/>
                <w:sz w:val="20"/>
                <w:szCs w:val="20"/>
              </w:rPr>
              <w:br/>
              <w:t>(SE = 0.017)</w:t>
            </w:r>
          </w:p>
        </w:tc>
      </w:tr>
    </w:tbl>
    <w:p w14:paraId="029670D2" w14:textId="7EB470DC" w:rsidR="00D7012E" w:rsidRDefault="00000000">
      <w:pPr>
        <w:pBdr>
          <w:top w:val="none" w:sz="0" w:space="0" w:color="000000"/>
          <w:left w:val="none" w:sz="0" w:space="0" w:color="000000"/>
          <w:bottom w:val="none" w:sz="0" w:space="0" w:color="000000"/>
          <w:right w:val="none" w:sz="0" w:space="0" w:color="000000"/>
        </w:pBdr>
        <w:jc w:val="center"/>
        <w:rPr>
          <w:rFonts w:ascii="Arial" w:eastAsia="Arial" w:hAnsi="Arial" w:cs="Arial"/>
          <w:i/>
          <w:color w:val="000000"/>
          <w:sz w:val="20"/>
          <w:szCs w:val="20"/>
        </w:rPr>
      </w:pPr>
      <w:r>
        <w:rPr>
          <w:rFonts w:ascii="Arial" w:eastAsia="Arial" w:hAnsi="Arial" w:cs="Arial"/>
          <w:i/>
          <w:color w:val="000000"/>
          <w:sz w:val="20"/>
          <w:szCs w:val="20"/>
        </w:rPr>
        <w:t>Note: Gini coefficients reported are averages across all years.  Income data were collected annually until 1997, and biennially thereafter.  Wealth data were collected every five years from 1984 to 1999, and every other year thereafter.  Both income and wealth are adjusted for inflation</w:t>
      </w:r>
      <w:r w:rsidR="00A86EA9">
        <w:rPr>
          <w:rFonts w:ascii="Arial" w:eastAsia="Arial" w:hAnsi="Arial" w:cs="Arial"/>
          <w:i/>
          <w:color w:val="000000"/>
          <w:sz w:val="20"/>
          <w:szCs w:val="20"/>
        </w:rPr>
        <w:t xml:space="preserve">. </w:t>
      </w:r>
      <w:r>
        <w:rPr>
          <w:rFonts w:ascii="Arial" w:eastAsia="Arial" w:hAnsi="Arial" w:cs="Arial"/>
          <w:i/>
          <w:color w:val="000000"/>
          <w:sz w:val="20"/>
          <w:szCs w:val="20"/>
        </w:rPr>
        <w:t>Wealth is measured excluding home equity. Standard errors are shown in parentheses.</w:t>
      </w:r>
    </w:p>
    <w:p w14:paraId="0E6C96C2" w14:textId="77777777" w:rsidR="00A86EA9" w:rsidRDefault="00A86EA9">
      <w:pPr>
        <w:pBdr>
          <w:top w:val="none" w:sz="0" w:space="0" w:color="000000"/>
          <w:left w:val="none" w:sz="0" w:space="0" w:color="000000"/>
          <w:bottom w:val="none" w:sz="0" w:space="0" w:color="000000"/>
          <w:right w:val="none" w:sz="0" w:space="0" w:color="000000"/>
        </w:pBdr>
        <w:jc w:val="center"/>
        <w:rPr>
          <w:rFonts w:ascii="Arial" w:eastAsia="Arial" w:hAnsi="Arial" w:cs="Arial"/>
          <w:i/>
          <w:color w:val="000000"/>
          <w:sz w:val="20"/>
          <w:szCs w:val="20"/>
        </w:rPr>
      </w:pPr>
    </w:p>
    <w:p w14:paraId="177018BA" w14:textId="77777777" w:rsidR="00A86EA9" w:rsidRDefault="00A86EA9">
      <w:pPr>
        <w:pBdr>
          <w:top w:val="none" w:sz="0" w:space="0" w:color="000000"/>
          <w:left w:val="none" w:sz="0" w:space="0" w:color="000000"/>
          <w:bottom w:val="none" w:sz="0" w:space="0" w:color="000000"/>
          <w:right w:val="none" w:sz="0" w:space="0" w:color="000000"/>
        </w:pBdr>
        <w:jc w:val="center"/>
        <w:rPr>
          <w:rFonts w:ascii="Arial" w:eastAsia="Arial" w:hAnsi="Arial" w:cs="Arial"/>
          <w:i/>
          <w:color w:val="000000"/>
          <w:sz w:val="20"/>
          <w:szCs w:val="20"/>
        </w:rPr>
      </w:pPr>
    </w:p>
    <w:p w14:paraId="0EE02277" w14:textId="77777777" w:rsidR="00A86EA9" w:rsidRDefault="00A86EA9">
      <w:pPr>
        <w:pBdr>
          <w:top w:val="none" w:sz="0" w:space="0" w:color="000000"/>
          <w:left w:val="none" w:sz="0" w:space="0" w:color="000000"/>
          <w:bottom w:val="none" w:sz="0" w:space="0" w:color="000000"/>
          <w:right w:val="none" w:sz="0" w:space="0" w:color="000000"/>
        </w:pBdr>
        <w:jc w:val="center"/>
      </w:pPr>
    </w:p>
    <w:sectPr w:rsidR="00A86EA9"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2009419">
    <w:abstractNumId w:val="1"/>
  </w:num>
  <w:num w:numId="2" w16cid:durableId="2100710798">
    <w:abstractNumId w:val="2"/>
  </w:num>
  <w:num w:numId="3" w16cid:durableId="240144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12E"/>
    <w:rsid w:val="00A86EA9"/>
    <w:rsid w:val="00C76D41"/>
    <w:rsid w:val="00D70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256FC2"/>
  <w15:docId w15:val="{4EEA089C-901F-1A44-9356-E9D75A551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84</Words>
  <Characters>480</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Amanda Buechele</cp:lastModifiedBy>
  <cp:revision>10</cp:revision>
  <dcterms:created xsi:type="dcterms:W3CDTF">2017-02-28T11:18:00Z</dcterms:created>
  <dcterms:modified xsi:type="dcterms:W3CDTF">2025-11-18T13:59:00Z</dcterms:modified>
  <cp:category/>
</cp:coreProperties>
</file>