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Differences in Inequality by Race</w:t>
      </w:r>
    </w:p>
    <w:tbl xmlns:a="http://schemas.openxmlformats.org/drawingml/2006/main" xmlns:pic="http://schemas.openxmlformats.org/drawingml/2006/picture">
      <w:tblPr>
        <w:tblLayout w:type="fixed"/>
        <w:jc w:val="center"/>
        <w:tblLook w:firstRow="1" w:lastRow="0" w:firstColumn="0" w:lastColumn="0" w:noHBand="0" w:noVBand="1"/>
      </w:tblPr>
      <w:tblGrid>
        <w:gridCol w:w="1384"/>
        <w:gridCol w:w="1539"/>
        <w:gridCol w:w="1771"/>
        <w:gridCol w:w="1744"/>
        <w:gridCol w:w="2011"/>
        <w:gridCol w:w="2318"/>
        <w:gridCol w:w="2291"/>
      </w:tblGrid>
      <w:tr>
        <w:trPr>
          <w:trHeight w:val="63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(Non-Black)</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0.444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0.878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0.740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0.138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0.833</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0.709</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0.022)</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using weighted data.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91,775 Black household-years and 22,213 Black clan-years, and 148,336 Non-Black household-years and 42,079 Non-Black clan-years, with 2,906 unique clans in total; 966 clans ever classified as Black and 2,003 clans ever classified as Non-Black, including 63 clans appearing in both groups across years. Wealth estimates use 46,059 Black household-years and 8,608 Black clan-years, and 74,813 Non-Black household-years and 18,047 Non-Black clan-years, with 2,636 unique clans in total; 827 clans ever classified as Black and 1,853 clans ever classified as Non-Black, including 44 clans appearing in both groups across years.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2026-02-19T12:34:39Z</dcterms:modified>
  <cp:category/>
</cp:coreProperties>
</file>