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C1: Comparison of Gini coefficients with and without negative values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961"/>
        <w:gridCol w:w="1010"/>
        <w:gridCol w:w="961"/>
        <w:gridCol w:w="961"/>
        <w:gridCol w:w="1010"/>
        <w:gridCol w:w="961"/>
        <w:gridCol w:w="2294"/>
      </w:tblGrid>
      <w:tr>
        <w:trPr>
          <w:trHeight w:val="618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Excluding Negative Values</w:t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Including Negative Values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Difference Overall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</w:tr>
      <w:tr>
        <w:trPr>
          <w:trHeight w:val="569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7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69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-0.002</w:t>
            </w:r>
          </w:p>
        </w:tc>
      </w:tr>
      <w:tr>
        <w:trPr>
          <w:trHeight w:val="569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569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69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69" w:hRule="auto"/>
        </w:trPr>
        body42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amanda</cp:lastModifiedBy>
  <cp:revision>9</cp:revision>
  <dcterms:created xsi:type="dcterms:W3CDTF">2017-02-28T11:18:00Z</dcterms:created>
  <dcterms:modified xsi:type="dcterms:W3CDTF">2026-01-21T11:37:23Z</dcterms:modified>
  <cp:category/>
</cp:coreProperties>
</file>