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C2: Comparison of Gini coefficients with and without negative values (wealth excludes home equity)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961"/>
        <w:gridCol w:w="1010"/>
        <w:gridCol w:w="961"/>
        <w:gridCol w:w="961"/>
        <w:gridCol w:w="1010"/>
        <w:gridCol w:w="961"/>
        <w:gridCol w:w="2294"/>
      </w:tblGrid>
      <w:tr>
        <w:trPr>
          <w:trHeight w:val="618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Excluding Negative Values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Including Negative Values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Difference Overall</w:t>
            </w:r>
          </w:p>
        </w:tc>
      </w:tr>
      <w:tr>
        <w:trPr>
          <w:trHeight w:val="576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</w:tr>
      <w:tr>
        <w:trPr>
          <w:trHeight w:val="56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5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5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57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5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5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56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</w:tr>
      <w:tr>
        <w:trPr>
          <w:trHeight w:val="5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56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</w:tr>
      <w:tr>
        <w:trPr>
          <w:trHeight w:val="56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</w:tr>
      <w:tr>
        <w:trPr>
          <w:trHeight w:val="57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2026-01-21T11:37:23Z</dcterms:modified>
  <cp:category/>
</cp:coreProperties>
</file>