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D1: Comparison of Gini coefficients for wealth with and without home equity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961"/>
        <w:gridCol w:w="1010"/>
        <w:gridCol w:w="961"/>
        <w:gridCol w:w="961"/>
        <w:gridCol w:w="1010"/>
        <w:gridCol w:w="961"/>
        <w:gridCol w:w="2294"/>
      </w:tblGrid>
      <w:tr>
        <w:trPr>
          <w:trHeight w:val="618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Excluding Home Equity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Including Home Equity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Difference Overall</w:t>
            </w:r>
          </w:p>
        </w:tc>
      </w:tr>
      <w:tr>
        <w:trPr>
          <w:trHeight w:val="576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5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5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5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5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5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57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2026-01-21T11:37:23Z</dcterms:modified>
  <cp:category/>
</cp:coreProperties>
</file>