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G1: Average nuclear family indices (C1, C2, C3) for income and wealth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1"/>
        <w:gridCol w:w="961"/>
        <w:gridCol w:w="1010"/>
        <w:gridCol w:w="961"/>
        <w:gridCol w:w="1010"/>
        <w:gridCol w:w="961"/>
        <w:gridCol w:w="1010"/>
      </w:tblGrid>
      <w:tr>
        <w:trPr>
          <w:trHeight w:val="576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C1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C2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C3</w:t>
            </w:r>
          </w:p>
        </w:tc>
      </w:tr>
      <w:tr>
        <w:trPr>
          <w:trHeight w:val="576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Income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Wealth (No House)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2026-01-21T11:40:34Z</dcterms:modified>
  <cp:category/>
</cp:coreProperties>
</file>