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Average Gini Coefficients for Households and Clans, 1969–2023</w:t>
      </w:r>
    </w:p>
    <w:tbl xmlns:a="http://schemas.openxmlformats.org/drawingml/2006/main" xmlns:pic="http://schemas.openxmlformats.org/drawingml/2006/picture">
      <w:tblPr>
        <w:tblLayout w:type="fixed"/>
        <w:jc w:val="center"/>
        <w:tblLook w:firstRow="1" w:lastRow="0" w:firstColumn="0" w:lastColumn="0" w:noHBand="0" w:noVBand="1"/>
      </w:tblPr>
      <w:tblGrid>
        <w:gridCol w:w="1067"/>
        <w:gridCol w:w="1784"/>
        <w:gridCol w:w="1539"/>
        <w:gridCol w:w="1584"/>
      </w:tblGrid>
      <w:tr>
        <w:trPr>
          <w:trHeight w:val="59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Unit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Households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Difference</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0.432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0.062</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0.012)</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0.848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Income data were collected annually until 1997, and biennially thereafter. Wealth data were collected every five years from 1984 to 1999, and every other year thereafter. Both income and wealth are adjusted for inflation. Wealth is measured excluding home equity. Standard errors are shown in parentheses. Income estimates use 242,200 household-years and 64,292 clan-years, with 2,906 unique clans. Wealth estimates use 113,579 household-years and 25,045 clan-years, with 2,622 unique clans.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2026-01-21T13:21:38Z</dcterms:modified>
  <cp:category/>
</cp:coreProperties>
</file>