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Author Name(s)</w:t>
      </w:r>
    </w:p>
    <w:p>
      <w:pPr>
        <w:pStyle w:val="Date"/>
      </w:pPr>
      <w:r>
        <w:t xml:space="preserve">February 19, 2026</w:t>
      </w:r>
    </w:p>
    <w:bookmarkStart w:id="9" w:name="abstract"/>
    <w:p>
      <w:pPr>
        <w:pStyle w:val="Heading1"/>
      </w:pPr>
      <w:r>
        <w:rPr>
          <w:rStyle w:val="SectionNumber"/>
        </w:rPr>
        <w:t xml:space="preserve">1</w:t>
      </w:r>
      <w:r>
        <w:tab/>
      </w: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0.06 points (from 0.43 to 0.37),</w:t>
      </w:r>
      <w:r>
        <w:t xml:space="preserve"> </w:t>
      </w:r>
      <w:r>
        <w:t xml:space="preserve">a 14.35% reduction, while the wealth Gini declines by</w:t>
      </w:r>
      <w:r>
        <w:t xml:space="preserve"> </w:t>
      </w:r>
      <w:r>
        <w:t xml:space="preserve">0.14 points (from 0.80 to 0.67), or about</w:t>
      </w:r>
      <w:r>
        <w:t xml:space="preserve"> </w:t>
      </w:r>
      <w:r>
        <w:t xml:space="preserve">17.2%. Inequality between households is not only higher than</w:t>
      </w:r>
      <w:r>
        <w:t xml:space="preserve"> </w:t>
      </w:r>
      <w:r>
        <w:t xml:space="preserve">inequality between clans in the aggregate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(56.57% vs. 32.99%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rPr>
          <w:rStyle w:val="SectionNumber"/>
        </w:rPr>
        <w:t xml:space="preserve">2</w:t>
      </w:r>
      <w:r>
        <w:tab/>
      </w: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rPr>
          <w:rStyle w:val="SectionNumber"/>
        </w:rPr>
        <w:t xml:space="preserve">3</w:t>
      </w:r>
      <w:r>
        <w:tab/>
      </w: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contrasts with a growing body of research suggesting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the intergenerational extended family—what we refer to as the clan</w:t>
      </w:r>
      <w:r>
        <w:t xml:space="preserve"> </w:t>
      </w:r>
      <w:r>
        <w:t xml:space="preserve">[17]</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clan-level depends on the relationship between clan size, the overall distribution of resources, and the selection of households into clans.</w:t>
      </w:r>
    </w:p>
    <w:bookmarkEnd w:id="12"/>
    <w:bookmarkStart w:id="20" w:name="results"/>
    <w:p>
      <w:pPr>
        <w:pStyle w:val="Heading1"/>
      </w:pPr>
      <w:r>
        <w:rPr>
          <w:rStyle w:val="SectionNumber"/>
        </w:rPr>
        <w:t xml:space="preserve">4</w:t>
      </w:r>
      <w:r>
        <w:tab/>
      </w: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0.06 points (from 0.43 to 0.37), a 14.35% decline, while the wealth Gini falls by 0.14 points (from 0.80 to 0.67), also about a 17.2% decrease. Taken together, these results indicate that both wealth and income inequality are higher when measured by households versus extended family units.</w:t>
      </w:r>
    </w:p>
    <w:p>
      <w:pPr>
        <w:pStyle w:val="BodyText"/>
      </w:pPr>
      <w:r>
        <w:drawing>
          <wp:inline>
            <wp:extent cx="5334000" cy="3429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18]</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33.0% from 0.39 in 1969 to 0.52 in 2023. Income inequality measured at the clan level, meanwhile, rose 56.6% from 0.30 to 0.47 over the same period. As both measurements are trending upwards, this means that clan income inequality is increasing at a faster pace than household income inequality. If we were to project these trends linearly into the future, by 2092 household and clan income inequality would appear identical. Put another way, these trends reflect a narrowing of income inequality between households and clans over time: in 1969 the gap between the two was 0.09. By 2023 it had decreased to 0.05.</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0.77 in 1984 to NA in 2023, a NA% increase. At the clan level, it rose from 0.63 to NA over the same period, which also constitutes a NA% increase. In other words, the clan-household gap in wealth inequality as measured by the Gini coefficient has remained stable, moving from 0.14 in 1984 to NA in 2023. These trends should be interpreted as inequality that excludes the wealthy. The PSID does not adequately sample the top of the wealth distribution [add cite], which drives much of the inequality in wealth [add cite].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with the highest 95th percentile [change number depending on cites] incomes.</w:t>
      </w:r>
    </w:p>
    <w:p>
      <w:pPr>
        <w:pStyle w:val="BodyText"/>
      </w:pPr>
      <w:r>
        <w:drawing>
          <wp:inline>
            <wp:extent cx="5334000" cy="3429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present by race, across different measures of wealth, for different samples, and when using alternative measures of inequality. Each of these are discussed in turn.</w:t>
      </w:r>
    </w:p>
    <w:p>
      <w:pPr>
        <w:pStyle w:val="BodyText"/>
      </w:pPr>
      <w:r>
        <w:t xml:space="preserve">Scholars document a persistent racial wealth gap between Black and non-Black households</w:t>
      </w:r>
      <w:r>
        <w:t xml:space="preserve"> </w:t>
      </w:r>
      <w:r>
        <w:t xml:space="preserve">[5, 19]</w:t>
      </w:r>
      <w:r>
        <w:t xml:space="preserve">, while also highlighting the unique role of kinship networks in shaping economic outcomes by race</w:t>
      </w:r>
      <w:r>
        <w:t xml:space="preserve"> </w:t>
      </w:r>
      <w:r>
        <w:t xml:space="preserve">[20, 21]</w:t>
      </w:r>
      <w:r>
        <w:t xml:space="preserve">. Given these findings, one might expect the choice of unit of analysis to affect inequality estimates differently across racial groups. While there is higher inequality among Black households and clans overall, the direction of the household–clan difference in Gini coefficients is consistent across racial groups (Table 1).</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Differences in Inequality by Race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Diff. (Non-Black)</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0.444</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0.048)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 = 0.023)</w:t>
            </w:r>
          </w:p>
        </w:tc>
      </w:tr>
    </w:tbl>
    <w:p>
      <w:pPr>
        <w:pStyle w:val="BodyText"/>
      </w:pPr>
    </w:p>
    <w:p>
      <w:pPr>
        <w:pStyle w:val="BodyText"/>
      </w:pPr>
      <w:r>
        <w:t xml:space="preserve">For income, the difference between household and clan Gini coefficients is 0.07 for Black respondents and 0.06 for non-Black respondents (Table 1). For wealth, the difference between household and clan Gini coefficients is 0.24 for Black respondents and 0.14 for non-Black respondents (Table 1). These differences indicate that the unit of analysis has a slightly larger effect on measured wealth inequality by race than on income inequality, with inequality lower when using clans as the unit of analysis, especially for Black respondents. Nonetheless, the direction of the difference is consistent across all sub-groups, with wealth inequality lower than income inequality.</w:t>
      </w:r>
    </w:p>
    <w:p>
      <w:pPr>
        <w:pStyle w:val="BodyText"/>
      </w:pPr>
      <w:r>
        <w:t xml:space="preserve">Values for income and wealth exclude negative values. Therefore, Gini coefficients presented here underestimate the extent of inequality at both the household and clan levels. When negative values are included, the difference in equality at the clan and household levels widens (see Appendix Table C1 and C2).</w:t>
      </w:r>
    </w:p>
    <w:p>
      <w:pPr>
        <w:pStyle w:val="BodyText"/>
      </w:pPr>
      <w:r>
        <w:t xml:space="preserve">The measures of wealth employed in our results include home equity. As a sensitivity analysis, we compare Gini coefficients for measures of wealth including and excluding home equity (see Appendix Table D). When wealth is measured excluding home equity, estimated inequality is lower at both the household and clan level, but the difference between household and clan-level Gini coefficients is about the same.</w:t>
      </w:r>
    </w:p>
    <w:p>
      <w:pPr>
        <w:pStyle w:val="BodyText"/>
      </w:pPr>
      <w:r>
        <w:t xml:space="preserve">Additionally, although all households belong to a clan, not all extended family members are observed in the PSID in every year. In some cases,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eliminates the household–clan inequality gap for income but not for wealth (see Appendix Tables E1 and E2), further underscoring the importance of extended family networks in measuring wealth inequality in particular.</w:t>
      </w:r>
      <w:r>
        <w:rPr>
          <w:rStyle w:val="FootnoteReference"/>
        </w:rPr>
        <w:footnoteReference w:id="19"/>
      </w:r>
    </w:p>
    <w:p>
      <w:pPr>
        <w:pStyle w:val="BodyText"/>
      </w:pPr>
      <w:r>
        <w:t xml:space="preserve">Finally, while the Gini index is a widely-used measure of inequality, it has well-known limitations. In particular, the Gini places greater weight on differences around the middle of the income or wealth distribution</w:t>
      </w:r>
      <w:r>
        <w:t xml:space="preserve"> </w:t>
      </w:r>
      <w:r>
        <w:t xml:space="preserve">[22–24]</w:t>
      </w:r>
      <w:r>
        <w:t xml:space="preserve">. To assess whether our results depend on where inequality is concentrated along the distribution, we also examine two related measures, referred to as the Gini’s “nuclear family”: the Bonferroni coefficient (C1), which places greater weight on the lower tail of the distribution, and the third moment of the scaled conditional mean curve (C3), which places greater weight on the upper tail</w:t>
      </w:r>
      <w:r>
        <w:t xml:space="preserve"> </w:t>
      </w:r>
      <w:r>
        <w:t xml:space="preserve">[25]</w:t>
      </w:r>
      <w:r>
        <w:t xml:space="preserve">. Taken together, these three measures capture inequality across the lower, middle, and upper portions of the income or wealth distribution. Across all three measures, we find that estimated inequality is consistently lower when measured at the clan level than at the household level for both income and wealth (see Appendix Table G).</w:t>
      </w:r>
    </w:p>
    <w:bookmarkEnd w:id="20"/>
    <w:bookmarkStart w:id="21" w:name="discussion"/>
    <w:p>
      <w:pPr>
        <w:pStyle w:val="Heading1"/>
      </w:pPr>
      <w:r>
        <w:rPr>
          <w:rStyle w:val="SectionNumber"/>
        </w:rPr>
        <w:t xml:space="preserve">5</w:t>
      </w:r>
      <w:r>
        <w:tab/>
      </w: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of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Our analyses over time reveal that inequality between households was not only higher than inequality between clans in the aggregate but consistently higher across all survey years for both income and wealth.</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 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We speculate that concurrent declines in social mobility may help explain this pattern: lower mobility would be expected to produce greater homogeneity within clans, whereas higher mobility would have the opposite effect. By contrast, trends in household and clan inequality were similar for wealth over time. This may reflect the cumulative nature of wealth, which is more durably concentrated within kinship networks</w:t>
      </w:r>
      <w:r>
        <w:t xml:space="preserve"> </w:t>
      </w:r>
      <w:r>
        <w:t xml:space="preserve">[11, 13, 26]</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Although our analyses focused on the macro level, they highlighted a clear need for additional research on how extended families structured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1"/>
    <w:bookmarkStart w:id="22" w:name="materials-and-methods"/>
    <w:p>
      <w:pPr>
        <w:pStyle w:val="Heading1"/>
      </w:pPr>
      <w:r>
        <w:rPr>
          <w:rStyle w:val="SectionNumber"/>
        </w:rPr>
        <w:t xml:space="preserve">6</w:t>
      </w:r>
      <w:r>
        <w:tab/>
      </w: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the household or clan as a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[27]</w:t>
      </w:r>
      <w:r>
        <w:t xml:space="preserve">.</w:t>
      </w:r>
    </w:p>
    <w:p>
      <w:pPr>
        <w:pStyle w:val="BodyText"/>
      </w:pPr>
      <w:r>
        <w:t xml:space="preserve">The PSID defines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relocation;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113,579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18, 26]</w:t>
      </w:r>
      <w:r>
        <w:t xml:space="preserve">. The PSID began collecting wealth data in 1984, so our wealth analyses cover 1984 to 2023.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[26, 28]</w:t>
      </w:r>
      <w:r>
        <w:t xml:space="preserve">. All income and wealth values are adjusted for inflation. Additionally, analyses set negative values of income and wealth to zero so that Gini coefficients remain in the 0 to 1 range. Including negative values for income and wealth does not change the results (see Appendix Table C1 and C2). To construct clan-level measures, we aggregate household income and wealth for all households in a clan within each clan-year.</w:t>
      </w:r>
    </w:p>
    <w:p>
      <w:pPr>
        <w:pStyle w:val="BodyText"/>
      </w:pPr>
      <w:r>
        <w:t xml:space="preserve">All results presented are weighted. Using weights does not meaningfully change results (see Appendix Table F1 and F2).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These weights are applied to total clan income or wealth (rather than mean income or wealth) to avoid double standardization by household counts. In effect, clan weights already incorporate the number of households within a clan.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[29]</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Although widely used, the Gini has well-known limitations: it cannot distinguish between different inequality patterns and is most sensitive to variation in the middle of the income or wealth distribution</w:t>
      </w:r>
      <w:r>
        <w:t xml:space="preserve"> </w:t>
      </w:r>
      <w:r>
        <w:t xml:space="preserve">[23–25]</w:t>
      </w:r>
      <w:r>
        <w:t xml:space="preserve">. These features make it well suited to the PSID, which underrepresents wealthy households compared with surveys such as the Survey of Consumer Finance.</w:t>
      </w:r>
    </w:p>
    <w:p>
      <w:pPr>
        <w:pStyle w:val="BodyText"/>
      </w:pPr>
      <w:r>
        <w:t xml:space="preserve">More generally, as emphasized by Atkinson, any measure of inequality embeds normative judgments about where in the income or wealth distribution inequality matters most</w:t>
      </w:r>
      <w:r>
        <w:t xml:space="preserve"> </w:t>
      </w:r>
      <w:r>
        <w:t xml:space="preserve">[22]</w:t>
      </w:r>
      <w:r>
        <w:t xml:space="preserve">. The Gini implicitly places greater weight on differences near the center of the distribution rather than on disparities at the top or bottom. To assess whether our results depend on these implicit weighting choices, we complement the Gini with measures from its “nuclear family” that place greater weight on the lower and upper tails of the distribution</w:t>
      </w:r>
      <w:r>
        <w:t xml:space="preserve"> </w:t>
      </w:r>
      <w:r>
        <w:t xml:space="preserve">[25]</w:t>
      </w:r>
      <w:r>
        <w:t xml:space="preserve"> </w:t>
      </w:r>
      <w:r>
        <w:t xml:space="preserve">(see Appendix Table G). Together, this approach balances leveraging comparability with the wider inequality literature, and robustness to alternative inequality measures.</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Table B1 and B2).</w:t>
      </w:r>
    </w:p>
    <w:bookmarkEnd w:id="22"/>
    <w:bookmarkStart w:id="40" w:name="appendix"/>
    <w:p>
      <w:pPr>
        <w:pStyle w:val="Heading1"/>
      </w:pPr>
      <w:r>
        <w:rPr>
          <w:rStyle w:val="SectionNumber"/>
        </w:rPr>
        <w:t xml:space="preserve">7</w:t>
      </w:r>
      <w:r>
        <w:tab/>
      </w:r>
      <w:r>
        <w:t xml:space="preserve">Appendix</w:t>
      </w:r>
    </w:p>
    <w:bookmarkStart w:id="32" w:name="appendix-a-simulating-gini-coefficients"/>
    <w:p>
      <w:pPr>
        <w:pStyle w:val="Heading2"/>
      </w:pPr>
      <w:r>
        <w:rPr>
          <w:rStyle w:val="SectionNumber"/>
        </w:rPr>
        <w:t xml:space="preserve">7.1</w:t>
      </w:r>
      <w:r>
        <w:tab/>
      </w: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4" name="Picture"/>
            <a:graphic>
              <a:graphicData uri="http://schemas.openxmlformats.org/drawingml/2006/picture">
                <pic:pic>
                  <pic:nvPicPr>
                    <pic:cNvPr descr="/Users/amanda/Desktop/clan_project/10_draft/output/write_files/figure-docx/appendix-a1-1.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27" name="Picture"/>
            <a:graphic>
              <a:graphicData uri="http://schemas.openxmlformats.org/drawingml/2006/picture">
                <pic:pic>
                  <pic:nvPicPr>
                    <pic:cNvPr descr="/Users/amanda/Desktop/clan_project/10_draft/output/write_files/figure-docx/appendix-a2-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0" name="Picture"/>
            <a:graphic>
              <a:graphicData uri="http://schemas.openxmlformats.org/drawingml/2006/picture">
                <pic:pic>
                  <pic:nvPicPr>
                    <pic:cNvPr descr="/Users/amanda/Desktop/clan_project/10_draft/output/write_files/figure-docx/appendix-a3-1.png" id="31" name="Picture"/>
                    <pic:cNvPicPr>
                      <a:picLocks noChangeArrowheads="1" noChangeAspect="1"/>
                    </pic:cNvPicPr>
                  </pic:nvPicPr>
                  <pic:blipFill>
                    <a:blip r:embed="rId29"/>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2"/>
    <w:bookmarkStart w:id="33" w:name="X8f4b25e330c8c7d4282a452909c1adb149e7ace"/>
    <w:p>
      <w:pPr>
        <w:pStyle w:val="Heading2"/>
      </w:pPr>
      <w:r>
        <w:rPr>
          <w:rStyle w:val="SectionNumber"/>
        </w:rPr>
        <w:t xml:space="preserve">7.2</w:t>
      </w:r>
      <w:r>
        <w:tab/>
      </w: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30]</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[31, 32]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0.762</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0.757</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0.795</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0.832</w:t>
            </w:r>
          </w:p>
        </w:tc>
      </w:tr>
    </w:tbl>
    <w:p>
      <w:r>
        <w:br w:type="page"/>
      </w:r>
    </w:p>
    <w:bookmarkEnd w:id="33"/>
    <w:bookmarkStart w:id="34" w:name="X25a7aeb2533ae3502c0540f3bc4d05ba13aa3fc"/>
    <w:p>
      <w:pPr>
        <w:pStyle w:val="Heading2"/>
      </w:pPr>
      <w:r>
        <w:rPr>
          <w:rStyle w:val="SectionNumber"/>
        </w:rPr>
        <w:t xml:space="preserve">7.3</w:t>
      </w:r>
      <w:r>
        <w:tab/>
      </w:r>
      <w:r>
        <w:t xml:space="preserve">Appendix C: Sensitivity to Negative Values</w:t>
      </w:r>
    </w:p>
    <w:p>
      <w:pPr>
        <w:pStyle w:val="FirstParagraph"/>
      </w:pPr>
      <w:r>
        <w:t xml:space="preserve">Results presented in the main text exclude negative values for income and wealth. Appendix C1 and C2 show Gini coefficients when negative values are included, and report the difference between Gini coefficients at the household and clan levels. The last column shows how the gap between household and clan-level Gini coefficients changes when negative values are included. While including negative values makes estimated inequality higher, it does not change the observed difference between household and clan Gini coefficients.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C1. Income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C2. Wealth Gini coefficients with and without negative values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Negative Values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Negative Values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r>
        <w:trPr>
          <w:trHeight w:val="360" w:hRule="auto"/>
        </w:trPr>
        body15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w:t>
            </w:r>
          </w:p>
        </w:tc>
      </w:tr>
    </w:tbl>
    <w:p>
      <w:r>
        <w:br w:type="page"/>
      </w:r>
    </w:p>
    <w:bookmarkEnd w:id="34"/>
    <w:bookmarkStart w:id="35" w:name="appendix-d-sensitivity-to-home-equity"/>
    <w:p>
      <w:pPr>
        <w:pStyle w:val="Heading2"/>
      </w:pPr>
      <w:r>
        <w:rPr>
          <w:rStyle w:val="SectionNumber"/>
        </w:rPr>
        <w:t xml:space="preserve">7.4</w:t>
      </w:r>
      <w:r>
        <w:tab/>
      </w:r>
      <w:r>
        <w:t xml:space="preserve">Appendix D: Sensitivity to Home Equity</w:t>
      </w:r>
    </w:p>
    <w:p>
      <w:pPr>
        <w:pStyle w:val="FirstParagraph"/>
      </w:pPr>
      <w:r>
        <w:t xml:space="preserve">Results presented in the main text include home equity for measures of wealth. Appendix D shows Gini coefficients when home equity is excluded, and report the difference between Gini coefficients at the household and clan levels. The last column shows how the gap between household and clan-level Gini coefficients changes when home equity is excluded. Excluding home equity makes estimated inequality lower and minimizes the observed difference between household and clan Gini coefficients.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D. Wealth Gini coefficients with and without home equity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Home Equity</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Home Equity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0.031</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0.022</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0.023</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0.024</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body15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0.014</w:t>
            </w:r>
          </w:p>
        </w:tc>
      </w:tr>
    </w:tbl>
    <w:p>
      <w:r>
        <w:br w:type="page"/>
      </w:r>
    </w:p>
    <w:bookmarkEnd w:id="35"/>
    <w:bookmarkStart w:id="36" w:name="X3347808491c73431efff0a08491ba1f9209782e"/>
    <w:p>
      <w:pPr>
        <w:pStyle w:val="Heading2"/>
      </w:pPr>
      <w:r>
        <w:rPr>
          <w:rStyle w:val="SectionNumber"/>
        </w:rPr>
        <w:t xml:space="preserve">7.5</w:t>
      </w:r>
      <w:r>
        <w:tab/>
      </w:r>
      <w:r>
        <w:t xml:space="preserve">Appendix E: Sensitivity to Single-Household Clans</w:t>
      </w:r>
    </w:p>
    <w:p>
      <w:pPr>
        <w:pStyle w:val="FirstParagraph"/>
      </w:pPr>
      <w:r>
        <w:t xml:space="preserve">In reality, all households belong to a clan. However, because of attrition, some households are</w:t>
      </w:r>
      <w:r>
        <w:t xml:space="preserve"> </w:t>
      </w:r>
      <w:r>
        <w:t xml:space="preserve">“clanless”</w:t>
      </w:r>
      <w:r>
        <w:t xml:space="preserve"> </w:t>
      </w:r>
      <w:r>
        <w:t xml:space="preserve">in the PSID, meaning that their family members in other households did not respond in a given survey year. Because this limitation is imposed by the survey design, not social reality, we exclude household-years where households are not observed in a clan with at least one other household. When including single-household clans, or</w:t>
      </w:r>
      <w:r>
        <w:t xml:space="preserve"> </w:t>
      </w:r>
      <w:r>
        <w:t xml:space="preserve">“clanless”</w:t>
      </w:r>
      <w:r>
        <w:t xml:space="preserve"> </w:t>
      </w:r>
      <w:r>
        <w:t xml:space="preserve">households, the difference in Gini coefficients at the household and clans levels is reversed for income and minimized for wealth.</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E1. Income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 (Robust)</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0.122</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0.128</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0.118</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0.116</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0.114</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0.109</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0.110</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0.120</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0.081</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0.079</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0.084</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0.121</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0.115</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0.108</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E2. Wealth Gini coefficients with and without single-household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Excluding Single-HH Clans</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Including Single-HH Clans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Excl. - Incl.</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0.052</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0.034</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0.038</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r>
      <w:tr>
        <w:trPr>
          <w:trHeight w:val="360" w:hRule="auto"/>
        </w:trPr>
        body15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0.063</w:t>
            </w:r>
          </w:p>
        </w:tc>
      </w:tr>
    </w:tbl>
    <w:p>
      <w:r>
        <w:br w:type="page"/>
      </w:r>
    </w:p>
    <w:bookmarkEnd w:id="36"/>
    <w:bookmarkStart w:id="37" w:name="appendix-f-sensitivity-to-weighting"/>
    <w:p>
      <w:pPr>
        <w:pStyle w:val="Heading2"/>
      </w:pPr>
      <w:r>
        <w:rPr>
          <w:rStyle w:val="SectionNumber"/>
        </w:rPr>
        <w:t xml:space="preserve">7.6</w:t>
      </w:r>
      <w:r>
        <w:tab/>
      </w:r>
      <w:r>
        <w:t xml:space="preserve">Appendix F: Sensitivity to Weighting</w:t>
      </w:r>
    </w:p>
    <w:p>
      <w:pPr>
        <w:pStyle w:val="FirstParagraph"/>
      </w:pPr>
      <w:r>
        <w:t xml:space="preserve">All results presented in the main paper are weighted. Household-level Gini coefficients are weighted using PSID-provided family weights, while clan-level Gini coefficients are weighted using a constructed clan weight based off of the PSID family weight. Weighting does not substantially change the results.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F1. Income Gini coefficients weighted and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Weighted</w:t>
            </w:r>
          </w:p>
        </w:tc>
        <w:tc>
          <w:tcPr>
            <w:gridSpan w:val="3"/>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Unweighted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Change in Gap</w:t>
            </w:r>
          </w:p>
        </w:tc>
      </w:tr>
      <w:tr>
        <w:trPr>
          <w:trHeight w:val="360" w:hRule="auto"/>
          <w:tblHeader/>
        </w:trPr>
        header 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 - 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Wtd. - Unwtd.</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0.018</w:t>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r>
      <w:tr>
        <w:trPr>
          <w:trHeight w:val="36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r>
      <w:tr>
        <w:trPr>
          <w:trHeight w:val="360"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0.002</w:t>
            </w:r>
          </w:p>
        </w:tc>
      </w:tr>
      <w:tr>
        <w:trPr>
          <w:trHeight w:val="360"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r>
        <w:trPr>
          <w:trHeight w:val="360"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360"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r>
      <w:tr>
        <w:trPr>
          <w:trHeight w:val="360"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r>
      <w:tr>
        <w:trPr>
          <w:trHeight w:val="360"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r>
      <w:tr>
        <w:trPr>
          <w:trHeight w:val="360"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r>
      <w:tr>
        <w:trPr>
          <w:trHeight w:val="360"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r>
      <w:tr>
        <w:trPr>
          <w:trHeight w:val="360"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-0.011</w:t>
            </w:r>
          </w:p>
        </w:tc>
      </w:tr>
      <w:tr>
        <w:trPr>
          <w:trHeight w:val="360"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-0.006</w:t>
            </w:r>
          </w:p>
        </w:tc>
      </w:tr>
      <w:tr>
        <w:trPr>
          <w:trHeight w:val="360"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-0.003</w:t>
            </w:r>
          </w:p>
        </w:tc>
      </w:tr>
      <w:tr>
        <w:trPr>
          <w:trHeight w:val="360" w:hRule="auto"/>
        </w:trPr>
        body41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-0.001</w:t>
            </w:r>
          </w:p>
        </w:tc>
      </w:tr>
      <w:tr>
        <w:trPr>
          <w:trHeight w:val="360" w:hRule="auto"/>
        </w:trPr>
        body42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0.000</w:t>
            </w:r>
          </w:p>
        </w:tc>
      </w:tr>
    </w:tbl>
    <w:p>
      <w:r>
        <w:br w:type="page"/>
      </w:r>
    </w:p>
    <w:bookmarkEnd w:id="37"/>
    <w:bookmarkStart w:id="38" w:name="X8e44f0b71ab72589ae66227ae62ae48dec7c347"/>
    <w:p>
      <w:pPr>
        <w:pStyle w:val="Heading2"/>
      </w:pPr>
      <w:r>
        <w:rPr>
          <w:rStyle w:val="SectionNumber"/>
        </w:rPr>
        <w:t xml:space="preserve">7.7</w:t>
      </w:r>
      <w:r>
        <w:tab/>
      </w:r>
      <w:r>
        <w:t xml:space="preserve">Appendix G: Alternative Inequality Measures (C1, C2, C3)</w:t>
      </w:r>
    </w:p>
    <w:p>
      <w:pPr>
        <w:pStyle w:val="FirstParagraph"/>
      </w:pPr>
      <w:r>
        <w:t xml:space="preserve">C1 is the Bonferroni coefficient (greater weight on lower tail); C2 is the standard Gini coefficient; C3 places greater weight on the upper tail of the distribution</w:t>
      </w:r>
      <w:r>
        <w:t xml:space="preserve"> </w:t>
      </w:r>
      <w:r>
        <w:t xml:space="preserve">[25]</w:t>
      </w:r>
      <w:r>
        <w:t xml:space="preserve">. All estimates are weighted averages across all available years.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G. Average C1, C2, and C3 inequality indices for income and wealth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C1 (Bonferroni)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C2 (Gini)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C3 (upper tail)</w:t>
            </w:r>
          </w:p>
        </w:tc>
      </w:tr>
      <w:tr>
        <w:trPr>
          <w:trHeight w:val="360" w:hRule="auto"/>
          <w:tblHeader/>
        </w:trPr>
        header2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0.304</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 (excl. home equity)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0.593</w:t>
            </w:r>
          </w:p>
        </w:tc>
      </w:tr>
    </w:tbl>
    <w:bookmarkEnd w:id="38"/>
    <w:bookmarkStart w:id="39" w:name="X6c328830b06062f67fd9b227922497c0dc6ebe6"/>
    <w:p>
      <w:pPr>
        <w:pStyle w:val="Heading2"/>
      </w:pPr>
      <w:r>
        <w:rPr>
          <w:rStyle w:val="SectionNumber"/>
        </w:rPr>
        <w:t xml:space="preserve">7.8</w:t>
      </w:r>
      <w:r>
        <w:tab/>
      </w:r>
      <w:r>
        <w:t xml:space="preserve">Appendix H: Sensitivity to Household and Clan Size</w:t>
      </w:r>
    </w:p>
    <w:bookmarkEnd w:id="39"/>
    <w:bookmarkEnd w:id="40"/>
    <w:bookmarkStart w:id="112" w:name="references"/>
    <w:p>
      <w:pPr>
        <w:pStyle w:val="Heading1"/>
      </w:pPr>
      <w:r>
        <w:t xml:space="preserve">References</w:t>
      </w:r>
    </w:p>
    <w:bookmarkStart w:id="111" w:name="refs"/>
    <w:bookmarkStart w:id="42"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41">
        <w:r>
          <w:rPr>
            <w:rStyle w:val="Hyperlink"/>
          </w:rPr>
          <w:t xml:space="preserve">https://fred.stlouisfed.org/series/SIPOVGINIUSA</w:t>
        </w:r>
      </w:hyperlink>
    </w:p>
    <w:bookmarkEnd w:id="42"/>
    <w:bookmarkStart w:id="44"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43">
        <w:r>
          <w:rPr>
            <w:rStyle w:val="Hyperlink"/>
          </w:rPr>
          <w:t xml:space="preserve">https://www.bakerinstitute.org/research/decline-us-wealth-and-income-inequality</w:t>
        </w:r>
      </w:hyperlink>
    </w:p>
    <w:bookmarkEnd w:id="44"/>
    <w:bookmarkStart w:id="47"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45">
        <w:r>
          <w:rPr>
            <w:rStyle w:val="Hyperlink"/>
          </w:rPr>
          <w:t xml:space="preserve">https://www.nber.org/papers/w33823</w:t>
        </w:r>
      </w:hyperlink>
      <w:r>
        <w:t xml:space="preserve">. doi:</w:t>
      </w:r>
      <w:hyperlink r:id="rId46">
        <w:r>
          <w:rPr>
            <w:rStyle w:val="Hyperlink"/>
          </w:rPr>
          <w:t xml:space="preserve">10.3386/w33823</w:t>
        </w:r>
      </w:hyperlink>
    </w:p>
    <w:bookmarkEnd w:id="47"/>
    <w:bookmarkStart w:id="50"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48">
        <w:r>
          <w:rPr>
            <w:rStyle w:val="Hyperlink"/>
          </w:rPr>
          <w:t xml:space="preserve">https://www.journals.uchicago.edu/doi/10.1086/728741</w:t>
        </w:r>
      </w:hyperlink>
      <w:r>
        <w:t xml:space="preserve">. doi:</w:t>
      </w:r>
      <w:hyperlink r:id="rId49">
        <w:r>
          <w:rPr>
            <w:rStyle w:val="Hyperlink"/>
          </w:rPr>
          <w:t xml:space="preserve">10.1086/728741</w:t>
        </w:r>
      </w:hyperlink>
    </w:p>
    <w:bookmarkEnd w:id="50"/>
    <w:bookmarkStart w:id="53"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51">
        <w:r>
          <w:rPr>
            <w:rStyle w:val="Hyperlink"/>
          </w:rPr>
          <w:t xml:space="preserve">https://www.annualreviews.org/doi/10.1146/annurev-soc-060116-053331</w:t>
        </w:r>
      </w:hyperlink>
      <w:r>
        <w:t xml:space="preserve">. doi:</w:t>
      </w:r>
      <w:hyperlink r:id="rId52">
        <w:r>
          <w:rPr>
            <w:rStyle w:val="Hyperlink"/>
          </w:rPr>
          <w:t xml:space="preserve">10.1146/annurev-soc-060116-053331</w:t>
        </w:r>
      </w:hyperlink>
    </w:p>
    <w:bookmarkEnd w:id="53"/>
    <w:bookmarkStart w:id="55"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54">
        <w:r>
          <w:rPr>
            <w:rStyle w:val="Hyperlink"/>
          </w:rPr>
          <w:t xml:space="preserve">https://doi.org/10.1093/qje/qjw004</w:t>
        </w:r>
      </w:hyperlink>
      <w:r>
        <w:t xml:space="preserve">. doi:</w:t>
      </w:r>
      <w:hyperlink r:id="rId54">
        <w:r>
          <w:rPr>
            <w:rStyle w:val="Hyperlink"/>
          </w:rPr>
          <w:t xml:space="preserve">10.1093/qje/qjw004</w:t>
        </w:r>
      </w:hyperlink>
    </w:p>
    <w:bookmarkEnd w:id="55"/>
    <w:bookmarkStart w:id="56"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56"/>
    <w:bookmarkStart w:id="58"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57">
        <w:r>
          <w:rPr>
            <w:rStyle w:val="Hyperlink"/>
          </w:rPr>
          <w:t xml:space="preserve">10.1037/11282-004</w:t>
        </w:r>
      </w:hyperlink>
    </w:p>
    <w:bookmarkEnd w:id="58"/>
    <w:bookmarkStart w:id="60"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59">
        <w:r>
          <w:rPr>
            <w:rStyle w:val="Hyperlink"/>
          </w:rPr>
          <w:t xml:space="preserve">https://doi.org/10.1007/s13524-018-0719-y</w:t>
        </w:r>
      </w:hyperlink>
      <w:r>
        <w:t xml:space="preserve">. doi:</w:t>
      </w:r>
      <w:hyperlink r:id="rId59">
        <w:r>
          <w:rPr>
            <w:rStyle w:val="Hyperlink"/>
          </w:rPr>
          <w:t xml:space="preserve">10.1007/s13524-018-0719-y</w:t>
        </w:r>
      </w:hyperlink>
    </w:p>
    <w:bookmarkEnd w:id="60"/>
    <w:bookmarkStart w:id="62"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61">
        <w:r>
          <w:rPr>
            <w:rStyle w:val="Hyperlink"/>
          </w:rPr>
          <w:t xml:space="preserve">https://doi.org/10.1007/s13524-011-0014-7</w:t>
        </w:r>
      </w:hyperlink>
      <w:r>
        <w:t xml:space="preserve">. doi:</w:t>
      </w:r>
      <w:hyperlink r:id="rId61">
        <w:r>
          <w:rPr>
            <w:rStyle w:val="Hyperlink"/>
          </w:rPr>
          <w:t xml:space="preserve">10.1007/s13524-011-0014-7</w:t>
        </w:r>
      </w:hyperlink>
    </w:p>
    <w:bookmarkEnd w:id="62"/>
    <w:bookmarkStart w:id="64"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63">
        <w:r>
          <w:rPr>
            <w:rStyle w:val="Hyperlink"/>
          </w:rPr>
          <w:t xml:space="preserve">https://doi.org/10.1093/ser/mwad033</w:t>
        </w:r>
      </w:hyperlink>
      <w:r>
        <w:t xml:space="preserve">. doi:</w:t>
      </w:r>
      <w:hyperlink r:id="rId63">
        <w:r>
          <w:rPr>
            <w:rStyle w:val="Hyperlink"/>
          </w:rPr>
          <w:t xml:space="preserve">10.1093/ser/mwad033</w:t>
        </w:r>
      </w:hyperlink>
    </w:p>
    <w:bookmarkEnd w:id="64"/>
    <w:bookmarkStart w:id="66"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65">
        <w:r>
          <w:rPr>
            <w:rStyle w:val="Hyperlink"/>
          </w:rPr>
          <w:t xml:space="preserve">https://doi.org/10.1177/00031224251319001</w:t>
        </w:r>
      </w:hyperlink>
      <w:r>
        <w:t xml:space="preserve">. doi:</w:t>
      </w:r>
      <w:hyperlink r:id="rId65">
        <w:r>
          <w:rPr>
            <w:rStyle w:val="Hyperlink"/>
          </w:rPr>
          <w:t xml:space="preserve">10.1177/00031224251319001</w:t>
        </w:r>
      </w:hyperlink>
    </w:p>
    <w:bookmarkEnd w:id="66"/>
    <w:bookmarkStart w:id="69"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67">
        <w:r>
          <w:rPr>
            <w:rStyle w:val="Hyperlink"/>
          </w:rPr>
          <w:t xml:space="preserve">https://pubs.aeaweb.org/doi/10.1257/aer.20190553</w:t>
        </w:r>
      </w:hyperlink>
      <w:r>
        <w:t xml:space="preserve">. doi:</w:t>
      </w:r>
      <w:hyperlink r:id="rId68">
        <w:r>
          <w:rPr>
            <w:rStyle w:val="Hyperlink"/>
          </w:rPr>
          <w:t xml:space="preserve">10.1257/aer.20190553</w:t>
        </w:r>
      </w:hyperlink>
    </w:p>
    <w:bookmarkEnd w:id="69"/>
    <w:bookmarkStart w:id="72"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70">
        <w:r>
          <w:rPr>
            <w:rStyle w:val="Hyperlink"/>
          </w:rPr>
          <w:t xml:space="preserve">https://www-journals-uchicago-edu.turing.library.northwestern.edu/doi/full/10.1086/724835</w:t>
        </w:r>
      </w:hyperlink>
      <w:r>
        <w:t xml:space="preserve">. doi:</w:t>
      </w:r>
      <w:hyperlink r:id="rId71">
        <w:r>
          <w:rPr>
            <w:rStyle w:val="Hyperlink"/>
          </w:rPr>
          <w:t xml:space="preserve">https://doi.org/10.1086/724835</w:t>
        </w:r>
      </w:hyperlink>
    </w:p>
    <w:bookmarkEnd w:id="72"/>
    <w:bookmarkStart w:id="74"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73">
        <w:r>
          <w:rPr>
            <w:rStyle w:val="Hyperlink"/>
          </w:rPr>
          <w:t xml:space="preserve">10.1007/s13524-019-00772-8</w:t>
        </w:r>
      </w:hyperlink>
    </w:p>
    <w:bookmarkEnd w:id="74"/>
    <w:bookmarkStart w:id="76" w:name="ref-hertel_relation_2019"/>
    <w:p>
      <w:pPr>
        <w:pStyle w:val="Bibliography"/>
      </w:pPr>
      <w:r>
        <w:t xml:space="preserve">[16]</w:t>
      </w:r>
      <w:r>
        <w:t xml:space="preserve"> </w:t>
      </w:r>
      <w:r>
        <w:t xml:space="preserve">	</w:t>
      </w:r>
      <w:r>
        <w:t xml:space="preserve">Hertel FR, Groh-Samberg O. The</w:t>
      </w:r>
      <w:r>
        <w:t xml:space="preserve"> </w:t>
      </w:r>
      <w:r>
        <w:t xml:space="preserve">Relation</w:t>
      </w:r>
      <w:r>
        <w:t xml:space="preserve"> </w:t>
      </w:r>
      <w:r>
        <w:t xml:space="preserve">between</w:t>
      </w:r>
      <w:r>
        <w:t xml:space="preserve"> </w:t>
      </w:r>
      <w:r>
        <w:t xml:space="preserve">Inequality</w:t>
      </w:r>
      <w:r>
        <w:t xml:space="preserve"> </w:t>
      </w:r>
      <w:r>
        <w:t xml:space="preserve">and</w:t>
      </w:r>
      <w:r>
        <w:t xml:space="preserve"> </w:t>
      </w:r>
      <w:r>
        <w:t xml:space="preserve">Intergenerational</w:t>
      </w:r>
      <w:r>
        <w:t xml:space="preserve"> </w:t>
      </w:r>
      <w:r>
        <w:t xml:space="preserve">Class</w:t>
      </w:r>
      <w:r>
        <w:t xml:space="preserve"> </w:t>
      </w:r>
      <w:r>
        <w:t xml:space="preserve">Mobility</w:t>
      </w:r>
      <w:r>
        <w:t xml:space="preserve"> </w:t>
      </w:r>
      <w:r>
        <w:t xml:space="preserve">in 39</w:t>
      </w:r>
      <w:r>
        <w:t xml:space="preserve"> </w:t>
      </w:r>
      <w:r>
        <w:t xml:space="preserve">Countries</w:t>
      </w:r>
      <w:r>
        <w:t xml:space="preserve">. American Sociological Review. 2019 [accessed 2025 Dec 16];84(6):1099–1133.</w:t>
      </w:r>
      <w:r>
        <w:t xml:space="preserve"> </w:t>
      </w:r>
      <w:hyperlink r:id="rId75">
        <w:r>
          <w:rPr>
            <w:rStyle w:val="Hyperlink"/>
          </w:rPr>
          <w:t xml:space="preserve">https://doi.org/10.1177/0003122419885094</w:t>
        </w:r>
      </w:hyperlink>
      <w:r>
        <w:t xml:space="preserve">. doi:</w:t>
      </w:r>
      <w:hyperlink r:id="rId75">
        <w:r>
          <w:rPr>
            <w:rStyle w:val="Hyperlink"/>
          </w:rPr>
          <w:t xml:space="preserve">10.1177/0003122419885094</w:t>
        </w:r>
      </w:hyperlink>
    </w:p>
    <w:bookmarkEnd w:id="76"/>
    <w:bookmarkStart w:id="77" w:name="ref-shiffer-sebba_title_nodate"/>
    <w:p>
      <w:pPr>
        <w:pStyle w:val="Bibliography"/>
      </w:pPr>
      <w:r>
        <w:t xml:space="preserve">[17]</w:t>
      </w:r>
      <w:r>
        <w:t xml:space="preserve"> </w:t>
      </w:r>
      <w:r>
        <w:t xml:space="preserve">	</w:t>
      </w:r>
      <w:r>
        <w:t xml:space="preserve">Shiffer-Sebba D, Gabay-Egozi L.</w:t>
      </w:r>
      <w:r>
        <w:t xml:space="preserve"> </w:t>
      </w:r>
      <w:r>
        <w:t xml:space="preserve">TITLE</w:t>
      </w:r>
      <w:r>
        <w:t xml:space="preserve"> </w:t>
      </w:r>
      <w:r>
        <w:t xml:space="preserve">OF</w:t>
      </w:r>
      <w:r>
        <w:t xml:space="preserve"> </w:t>
      </w:r>
      <w:r>
        <w:t xml:space="preserve">PAA</w:t>
      </w:r>
      <w:r>
        <w:t xml:space="preserve"> </w:t>
      </w:r>
      <w:r>
        <w:t xml:space="preserve">PRESENTATION</w:t>
      </w:r>
      <w:r>
        <w:t xml:space="preserve">.</w:t>
      </w:r>
    </w:p>
    <w:bookmarkEnd w:id="77"/>
    <w:bookmarkStart w:id="79" w:name="ref-hallsten_grand_2017"/>
    <w:p>
      <w:pPr>
        <w:pStyle w:val="Bibliography"/>
      </w:pPr>
      <w:r>
        <w:t xml:space="preserve">[18]</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78">
        <w:r>
          <w:rPr>
            <w:rStyle w:val="Hyperlink"/>
          </w:rPr>
          <w:t xml:space="preserve">10.1177/0003122417695791</w:t>
        </w:r>
      </w:hyperlink>
    </w:p>
    <w:bookmarkEnd w:id="79"/>
    <w:bookmarkStart w:id="81" w:name="ref-oliver_black_2013"/>
    <w:p>
      <w:pPr>
        <w:pStyle w:val="Bibliography"/>
      </w:pPr>
      <w:r>
        <w:t xml:space="preserve">[19]</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80">
        <w:r>
          <w:rPr>
            <w:rStyle w:val="Hyperlink"/>
          </w:rPr>
          <w:t xml:space="preserve">10.4324/9780203707425</w:t>
        </w:r>
      </w:hyperlink>
    </w:p>
    <w:bookmarkEnd w:id="81"/>
    <w:bookmarkStart w:id="84" w:name="ref-beckert_durable_2022"/>
    <w:p>
      <w:pPr>
        <w:pStyle w:val="Bibliography"/>
      </w:pPr>
      <w:r>
        <w:t xml:space="preserve">[20]</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82">
        <w:r>
          <w:rPr>
            <w:rStyle w:val="Hyperlink"/>
          </w:rPr>
          <w:t xml:space="preserve">https://www-annualreviews-org.turing.library.northwestern.edu/content/journals/10.1146/annurev-soc-030320-115024</w:t>
        </w:r>
      </w:hyperlink>
      <w:r>
        <w:t xml:space="preserve">. doi:</w:t>
      </w:r>
      <w:hyperlink r:id="rId83">
        <w:r>
          <w:rPr>
            <w:rStyle w:val="Hyperlink"/>
          </w:rPr>
          <w:t xml:space="preserve">doi.org/10.1146/annurev-soc-030320-115024</w:t>
        </w:r>
      </w:hyperlink>
    </w:p>
    <w:bookmarkEnd w:id="84"/>
    <w:bookmarkStart w:id="87" w:name="ref-obrien_structural_2020"/>
    <w:p>
      <w:pPr>
        <w:pStyle w:val="Bibliography"/>
      </w:pPr>
      <w:r>
        <w:t xml:space="preserve">[21]</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85">
        <w:r>
          <w:rPr>
            <w:rStyle w:val="Hyperlink"/>
          </w:rPr>
          <w:t xml:space="preserve">https://www.sciencedirect.com/science/article/pii/S2352827319303623</w:t>
        </w:r>
      </w:hyperlink>
      <w:r>
        <w:t xml:space="preserve">. doi:</w:t>
      </w:r>
      <w:hyperlink r:id="rId86">
        <w:r>
          <w:rPr>
            <w:rStyle w:val="Hyperlink"/>
          </w:rPr>
          <w:t xml:space="preserve">10.1016/j.ssmph.2020.100564</w:t>
        </w:r>
      </w:hyperlink>
    </w:p>
    <w:bookmarkEnd w:id="87"/>
    <w:bookmarkStart w:id="90" w:name="ref-atkinson_measurement_1970"/>
    <w:p>
      <w:pPr>
        <w:pStyle w:val="Bibliography"/>
      </w:pPr>
      <w:r>
        <w:t xml:space="preserve">[22]</w:t>
      </w:r>
      <w:r>
        <w:t xml:space="preserve"> </w:t>
      </w:r>
      <w:r>
        <w:t xml:space="preserve">	</w:t>
      </w:r>
      <w:r>
        <w:t xml:space="preserve">Atkinson AB. On the measurement of inequality. Journal of Economic Theory. 1970 [accessed 2025 July 18];2(3):244–263.</w:t>
      </w:r>
      <w:r>
        <w:t xml:space="preserve"> </w:t>
      </w:r>
      <w:hyperlink r:id="rId88">
        <w:r>
          <w:rPr>
            <w:rStyle w:val="Hyperlink"/>
          </w:rPr>
          <w:t xml:space="preserve">https://www.sciencedirect.com/science/article/pii/0022053170900396</w:t>
        </w:r>
      </w:hyperlink>
      <w:r>
        <w:t xml:space="preserve">. doi:</w:t>
      </w:r>
      <w:hyperlink r:id="rId89">
        <w:r>
          <w:rPr>
            <w:rStyle w:val="Hyperlink"/>
          </w:rPr>
          <w:t xml:space="preserve">10.1016/0022-0531(70)90039-6</w:t>
        </w:r>
      </w:hyperlink>
    </w:p>
    <w:bookmarkEnd w:id="90"/>
    <w:bookmarkStart w:id="93" w:name="ref-de_maio_income_2007"/>
    <w:p>
      <w:pPr>
        <w:pStyle w:val="Bibliography"/>
      </w:pPr>
      <w:r>
        <w:t xml:space="preserve">[23]</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91">
        <w:r>
          <w:rPr>
            <w:rStyle w:val="Hyperlink"/>
          </w:rPr>
          <w:t xml:space="preserve">https://www.ncbi.nlm.nih.gov/pmc/articles/PMC2652960/</w:t>
        </w:r>
      </w:hyperlink>
      <w:r>
        <w:t xml:space="preserve">. doi:</w:t>
      </w:r>
      <w:hyperlink r:id="rId92">
        <w:r>
          <w:rPr>
            <w:rStyle w:val="Hyperlink"/>
          </w:rPr>
          <w:t xml:space="preserve">10.1136/jech.2006.052969</w:t>
        </w:r>
      </w:hyperlink>
    </w:p>
    <w:bookmarkEnd w:id="93"/>
    <w:bookmarkStart w:id="96" w:name="ref-kawachi_relationship_1997"/>
    <w:p>
      <w:pPr>
        <w:pStyle w:val="Bibliography"/>
      </w:pPr>
      <w:r>
        <w:t xml:space="preserve">[24]</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94">
        <w:r>
          <w:rPr>
            <w:rStyle w:val="Hyperlink"/>
          </w:rPr>
          <w:t xml:space="preserve">https://www.sciencedirect.com/science/article/pii/S0277953697000440</w:t>
        </w:r>
      </w:hyperlink>
      <w:r>
        <w:t xml:space="preserve">. doi:</w:t>
      </w:r>
      <w:hyperlink r:id="rId95">
        <w:r>
          <w:rPr>
            <w:rStyle w:val="Hyperlink"/>
          </w:rPr>
          <w:t xml:space="preserve">10.1016/S0277-9536(97)00044-0</w:t>
        </w:r>
      </w:hyperlink>
    </w:p>
    <w:bookmarkEnd w:id="96"/>
    <w:bookmarkStart w:id="99" w:name="ref-aaberge_ginis_2007"/>
    <w:p>
      <w:pPr>
        <w:pStyle w:val="Bibliography"/>
      </w:pPr>
      <w:r>
        <w:t xml:space="preserve">[25]</w:t>
      </w:r>
      <w:r>
        <w:t xml:space="preserve"> </w:t>
      </w:r>
      <w:r>
        <w:t xml:space="preserve">	</w:t>
      </w:r>
      <w:r>
        <w:t xml:space="preserve">Aaberge R. Gini’s nuclear family. Journal of Economic Inequality. 2007 [accessed 2025 Dec 16];5(3):305–322.</w:t>
      </w:r>
      <w:r>
        <w:t xml:space="preserve"> </w:t>
      </w:r>
      <w:hyperlink r:id="rId97">
        <w:r>
          <w:rPr>
            <w:rStyle w:val="Hyperlink"/>
          </w:rPr>
          <w:t xml:space="preserve">https://research.ebsco.com/linkprocessor/plink?id=183a0f60-6b65-3238-9faf-59d099fff528</w:t>
        </w:r>
      </w:hyperlink>
      <w:r>
        <w:t xml:space="preserve">. doi:</w:t>
      </w:r>
      <w:hyperlink r:id="rId98">
        <w:r>
          <w:rPr>
            <w:rStyle w:val="Hyperlink"/>
          </w:rPr>
          <w:t xml:space="preserve">10.1007/s10888-006-9050-8</w:t>
        </w:r>
      </w:hyperlink>
    </w:p>
    <w:bookmarkEnd w:id="99"/>
    <w:bookmarkStart w:id="100" w:name="ref-pfeffer_determinants_2017"/>
    <w:p>
      <w:pPr>
        <w:pStyle w:val="Bibliography"/>
      </w:pPr>
      <w:r>
        <w:t xml:space="preserve">[26]</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00"/>
    <w:bookmarkStart w:id="101" w:name="ref-insolera_overview_2021"/>
    <w:p>
      <w:pPr>
        <w:pStyle w:val="Bibliography"/>
      </w:pPr>
      <w:r>
        <w:t xml:space="preserve">[27]</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01"/>
    <w:bookmarkStart w:id="104" w:name="ref-si_multiple_2021"/>
    <w:p>
      <w:pPr>
        <w:pStyle w:val="Bibliography"/>
      </w:pPr>
      <w:r>
        <w:t xml:space="preserve">[28]</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02">
        <w:r>
          <w:rPr>
            <w:rStyle w:val="Hyperlink"/>
          </w:rPr>
          <w:t xml:space="preserve">https://www.ncbi.nlm.nih.gov/pmc/articles/PMC9874997/</w:t>
        </w:r>
      </w:hyperlink>
      <w:r>
        <w:t xml:space="preserve">. doi:</w:t>
      </w:r>
      <w:hyperlink r:id="rId103">
        <w:r>
          <w:rPr>
            <w:rStyle w:val="Hyperlink"/>
          </w:rPr>
          <w:t xml:space="preserve">10.1093/jssam/smab038</w:t>
        </w:r>
      </w:hyperlink>
    </w:p>
    <w:bookmarkEnd w:id="104"/>
    <w:bookmarkStart w:id="105" w:name="ref-sayer_women_2004"/>
    <w:p>
      <w:pPr>
        <w:pStyle w:val="Bibliography"/>
      </w:pPr>
      <w:r>
        <w:t xml:space="preserve">[29]</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05"/>
    <w:bookmarkStart w:id="107" w:name="ref-noauthor_table_nodate"/>
    <w:p>
      <w:pPr>
        <w:pStyle w:val="Bibliography"/>
      </w:pPr>
      <w:r>
        <w:t xml:space="preserve">[30]</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06">
        <w:r>
          <w:rPr>
            <w:rStyle w:val="Hyperlink"/>
          </w:rPr>
          <w:t xml:space="preserve">https://www.census.gov/data/tables/time-series/demo/income-poverty/historical-income-inequality.html</w:t>
        </w:r>
      </w:hyperlink>
    </w:p>
    <w:bookmarkEnd w:id="107"/>
    <w:bookmarkStart w:id="108" w:name="ref-wolff_size_209"/>
    <w:p>
      <w:pPr>
        <w:pStyle w:val="Bibliography"/>
      </w:pPr>
      <w:r>
        <w:t xml:space="preserve">[31]</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08"/>
    <w:bookmarkStart w:id="110" w:name="ref-pfeffer_wealth_2013"/>
    <w:p>
      <w:pPr>
        <w:pStyle w:val="Bibliography"/>
      </w:pPr>
      <w:r>
        <w:t xml:space="preserve">[32]</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09">
        <w:r>
          <w:rPr>
            <w:rStyle w:val="Hyperlink"/>
          </w:rPr>
          <w:t xml:space="preserve">10.1177/0002716213497452</w:t>
        </w:r>
      </w:hyperlink>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9">
    <w:p>
      <w:pPr>
        <w:pStyle w:val="FootnoteText"/>
      </w:pPr>
      <w:r>
        <w:rPr>
          <w:rStyle w:val="FootnoteReference"/>
        </w:rPr>
        <w:footnoteRef/>
      </w:r>
      <w:r>
        <w:t xml:space="preserve"> </w:t>
      </w:r>
      <w:r>
        <w:t xml:space="preserve">Add single-HH clan footnote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98" Target="https://doi.org/10.1007/s10888-006-9050-8" TargetMode="External" /><Relationship Type="http://schemas.openxmlformats.org/officeDocument/2006/relationships/hyperlink" Id="rId61" Target="https://doi.org/10.1007/s13524-011-0014-7" TargetMode="External" /><Relationship Type="http://schemas.openxmlformats.org/officeDocument/2006/relationships/hyperlink" Id="rId59" Target="https://doi.org/10.1007/s13524-018-0719-y" TargetMode="External" /><Relationship Type="http://schemas.openxmlformats.org/officeDocument/2006/relationships/hyperlink" Id="rId73" Target="https://doi.org/10.1007/s13524-019-00772-8" TargetMode="External" /><Relationship Type="http://schemas.openxmlformats.org/officeDocument/2006/relationships/hyperlink" Id="rId89" Target="https://doi.org/10.1016/0022-0531(70)90039-6" TargetMode="External" /><Relationship Type="http://schemas.openxmlformats.org/officeDocument/2006/relationships/hyperlink" Id="rId95" Target="https://doi.org/10.1016/S0277-9536(97)00044-0" TargetMode="External" /><Relationship Type="http://schemas.openxmlformats.org/officeDocument/2006/relationships/hyperlink" Id="rId86" Target="https://doi.org/10.1016/j.ssmph.2020.100564" TargetMode="External" /><Relationship Type="http://schemas.openxmlformats.org/officeDocument/2006/relationships/hyperlink" Id="rId57" Target="https://doi.org/10.1037/11282-004" TargetMode="External" /><Relationship Type="http://schemas.openxmlformats.org/officeDocument/2006/relationships/hyperlink" Id="rId71" Target="https://doi.org/10.1086/724835" TargetMode="External" /><Relationship Type="http://schemas.openxmlformats.org/officeDocument/2006/relationships/hyperlink" Id="rId49" Target="https://doi.org/10.1086/728741" TargetMode="External" /><Relationship Type="http://schemas.openxmlformats.org/officeDocument/2006/relationships/hyperlink" Id="rId103" Target="https://doi.org/10.1093/jssam/smab038" TargetMode="External" /><Relationship Type="http://schemas.openxmlformats.org/officeDocument/2006/relationships/hyperlink" Id="rId54" Target="https://doi.org/10.1093/qje/qjw004" TargetMode="External" /><Relationship Type="http://schemas.openxmlformats.org/officeDocument/2006/relationships/hyperlink" Id="rId63" Target="https://doi.org/10.1093/ser/mwad033" TargetMode="External" /><Relationship Type="http://schemas.openxmlformats.org/officeDocument/2006/relationships/hyperlink" Id="rId92" Target="https://doi.org/10.1136/jech.2006.052969" TargetMode="External" /><Relationship Type="http://schemas.openxmlformats.org/officeDocument/2006/relationships/hyperlink" Id="rId52" Target="https://doi.org/10.1146/annurev-soc-060116-053331" TargetMode="External" /><Relationship Type="http://schemas.openxmlformats.org/officeDocument/2006/relationships/hyperlink" Id="rId109" Target="https://doi.org/10.1177/0002716213497452" TargetMode="External" /><Relationship Type="http://schemas.openxmlformats.org/officeDocument/2006/relationships/hyperlink" Id="rId78" Target="https://doi.org/10.1177/0003122417695791" TargetMode="External" /><Relationship Type="http://schemas.openxmlformats.org/officeDocument/2006/relationships/hyperlink" Id="rId75" Target="https://doi.org/10.1177/0003122419885094" TargetMode="External" /><Relationship Type="http://schemas.openxmlformats.org/officeDocument/2006/relationships/hyperlink" Id="rId65" Target="https://doi.org/10.1177/00031224251319001" TargetMode="External" /><Relationship Type="http://schemas.openxmlformats.org/officeDocument/2006/relationships/hyperlink" Id="rId68" Target="https://doi.org/10.1257/aer.20190553" TargetMode="External" /><Relationship Type="http://schemas.openxmlformats.org/officeDocument/2006/relationships/hyperlink" Id="rId46" Target="https://doi.org/10.3386/w33823" TargetMode="External" /><Relationship Type="http://schemas.openxmlformats.org/officeDocument/2006/relationships/hyperlink" Id="rId80" Target="https://doi.org/10.4324/9780203707425" TargetMode="External" /><Relationship Type="http://schemas.openxmlformats.org/officeDocument/2006/relationships/hyperlink" Id="rId83" Target="https://doi.org/doi.org/10.1146/annurev-soc-030320-115024" TargetMode="External" /><Relationship Type="http://schemas.openxmlformats.org/officeDocument/2006/relationships/hyperlink" Id="rId41" Target="https://fred.stlouisfed.org/series/SIPOVGINIUSA" TargetMode="External" /><Relationship Type="http://schemas.openxmlformats.org/officeDocument/2006/relationships/hyperlink" Id="rId67" Target="https://pubs.aeaweb.org/doi/10.1257/aer.20190553" TargetMode="External" /><Relationship Type="http://schemas.openxmlformats.org/officeDocument/2006/relationships/hyperlink" Id="rId97" Target="https://research.ebsco.com/linkprocessor/plink?id=183a0f60-6b65-3238-9faf-59d099fff528" TargetMode="External" /><Relationship Type="http://schemas.openxmlformats.org/officeDocument/2006/relationships/hyperlink" Id="rId82" Target="https://www-annualreviews-org.turing.library.northwestern.edu/content/journals/10.1146/annurev-soc-030320-115024" TargetMode="External" /><Relationship Type="http://schemas.openxmlformats.org/officeDocument/2006/relationships/hyperlink" Id="rId70" Target="https://www-journals-uchicago-edu.turing.library.northwestern.edu/doi/full/10.1086/724835" TargetMode="External" /><Relationship Type="http://schemas.openxmlformats.org/officeDocument/2006/relationships/hyperlink" Id="rId51" Target="https://www.annualreviews.org/doi/10.1146/annurev-soc-060116-053331" TargetMode="External" /><Relationship Type="http://schemas.openxmlformats.org/officeDocument/2006/relationships/hyperlink" Id="rId43" Target="https://www.bakerinstitute.org/research/decline-us-wealth-and-income-inequality" TargetMode="External" /><Relationship Type="http://schemas.openxmlformats.org/officeDocument/2006/relationships/hyperlink" Id="rId106" Target="https://www.census.gov/data/tables/time-series/demo/income-poverty/historical-income-inequality.html" TargetMode="External" /><Relationship Type="http://schemas.openxmlformats.org/officeDocument/2006/relationships/hyperlink" Id="rId48" Target="https://www.journals.uchicago.edu/doi/10.1086/728741" TargetMode="External" /><Relationship Type="http://schemas.openxmlformats.org/officeDocument/2006/relationships/hyperlink" Id="rId45" Target="https://www.nber.org/papers/w33823" TargetMode="External" /><Relationship Type="http://schemas.openxmlformats.org/officeDocument/2006/relationships/hyperlink" Id="rId91" Target="https://www.ncbi.nlm.nih.gov/pmc/articles/PMC2652960/" TargetMode="External" /><Relationship Type="http://schemas.openxmlformats.org/officeDocument/2006/relationships/hyperlink" Id="rId102" Target="https://www.ncbi.nlm.nih.gov/pmc/articles/PMC9874997/" TargetMode="External" /><Relationship Type="http://schemas.openxmlformats.org/officeDocument/2006/relationships/hyperlink" Id="rId88" Target="https://www.sciencedirect.com/science/article/pii/0022053170900396" TargetMode="External" /><Relationship Type="http://schemas.openxmlformats.org/officeDocument/2006/relationships/hyperlink" Id="rId94" Target="https://www.sciencedirect.com/science/article/pii/S0277953697000440" TargetMode="External" /><Relationship Type="http://schemas.openxmlformats.org/officeDocument/2006/relationships/hyperlink" Id="rId85"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0888-006-9050-8" TargetMode="External" /><Relationship Type="http://schemas.openxmlformats.org/officeDocument/2006/relationships/hyperlink" Id="rId61" Target="https://doi.org/10.1007/s13524-011-0014-7" TargetMode="External" /><Relationship Type="http://schemas.openxmlformats.org/officeDocument/2006/relationships/hyperlink" Id="rId59" Target="https://doi.org/10.1007/s13524-018-0719-y" TargetMode="External" /><Relationship Type="http://schemas.openxmlformats.org/officeDocument/2006/relationships/hyperlink" Id="rId73" Target="https://doi.org/10.1007/s13524-019-00772-8" TargetMode="External" /><Relationship Type="http://schemas.openxmlformats.org/officeDocument/2006/relationships/hyperlink" Id="rId89" Target="https://doi.org/10.1016/0022-0531(70)90039-6" TargetMode="External" /><Relationship Type="http://schemas.openxmlformats.org/officeDocument/2006/relationships/hyperlink" Id="rId95" Target="https://doi.org/10.1016/S0277-9536(97)00044-0" TargetMode="External" /><Relationship Type="http://schemas.openxmlformats.org/officeDocument/2006/relationships/hyperlink" Id="rId86" Target="https://doi.org/10.1016/j.ssmph.2020.100564" TargetMode="External" /><Relationship Type="http://schemas.openxmlformats.org/officeDocument/2006/relationships/hyperlink" Id="rId57" Target="https://doi.org/10.1037/11282-004" TargetMode="External" /><Relationship Type="http://schemas.openxmlformats.org/officeDocument/2006/relationships/hyperlink" Id="rId71" Target="https://doi.org/10.1086/724835" TargetMode="External" /><Relationship Type="http://schemas.openxmlformats.org/officeDocument/2006/relationships/hyperlink" Id="rId49" Target="https://doi.org/10.1086/728741" TargetMode="External" /><Relationship Type="http://schemas.openxmlformats.org/officeDocument/2006/relationships/hyperlink" Id="rId103" Target="https://doi.org/10.1093/jssam/smab038" TargetMode="External" /><Relationship Type="http://schemas.openxmlformats.org/officeDocument/2006/relationships/hyperlink" Id="rId54" Target="https://doi.org/10.1093/qje/qjw004" TargetMode="External" /><Relationship Type="http://schemas.openxmlformats.org/officeDocument/2006/relationships/hyperlink" Id="rId63" Target="https://doi.org/10.1093/ser/mwad033" TargetMode="External" /><Relationship Type="http://schemas.openxmlformats.org/officeDocument/2006/relationships/hyperlink" Id="rId92" Target="https://doi.org/10.1136/jech.2006.052969" TargetMode="External" /><Relationship Type="http://schemas.openxmlformats.org/officeDocument/2006/relationships/hyperlink" Id="rId52" Target="https://doi.org/10.1146/annurev-soc-060116-053331" TargetMode="External" /><Relationship Type="http://schemas.openxmlformats.org/officeDocument/2006/relationships/hyperlink" Id="rId109" Target="https://doi.org/10.1177/0002716213497452" TargetMode="External" /><Relationship Type="http://schemas.openxmlformats.org/officeDocument/2006/relationships/hyperlink" Id="rId78" Target="https://doi.org/10.1177/0003122417695791" TargetMode="External" /><Relationship Type="http://schemas.openxmlformats.org/officeDocument/2006/relationships/hyperlink" Id="rId75" Target="https://doi.org/10.1177/0003122419885094" TargetMode="External" /><Relationship Type="http://schemas.openxmlformats.org/officeDocument/2006/relationships/hyperlink" Id="rId65" Target="https://doi.org/10.1177/00031224251319001" TargetMode="External" /><Relationship Type="http://schemas.openxmlformats.org/officeDocument/2006/relationships/hyperlink" Id="rId68" Target="https://doi.org/10.1257/aer.20190553" TargetMode="External" /><Relationship Type="http://schemas.openxmlformats.org/officeDocument/2006/relationships/hyperlink" Id="rId46" Target="https://doi.org/10.3386/w33823" TargetMode="External" /><Relationship Type="http://schemas.openxmlformats.org/officeDocument/2006/relationships/hyperlink" Id="rId80" Target="https://doi.org/10.4324/9780203707425" TargetMode="External" /><Relationship Type="http://schemas.openxmlformats.org/officeDocument/2006/relationships/hyperlink" Id="rId83" Target="https://doi.org/doi.org/10.1146/annurev-soc-030320-115024" TargetMode="External" /><Relationship Type="http://schemas.openxmlformats.org/officeDocument/2006/relationships/hyperlink" Id="rId41" Target="https://fred.stlouisfed.org/series/SIPOVGINIUSA" TargetMode="External" /><Relationship Type="http://schemas.openxmlformats.org/officeDocument/2006/relationships/hyperlink" Id="rId67" Target="https://pubs.aeaweb.org/doi/10.1257/aer.20190553" TargetMode="External" /><Relationship Type="http://schemas.openxmlformats.org/officeDocument/2006/relationships/hyperlink" Id="rId97" Target="https://research.ebsco.com/linkprocessor/plink?id=183a0f60-6b65-3238-9faf-59d099fff528" TargetMode="External" /><Relationship Type="http://schemas.openxmlformats.org/officeDocument/2006/relationships/hyperlink" Id="rId82" Target="https://www-annualreviews-org.turing.library.northwestern.edu/content/journals/10.1146/annurev-soc-030320-115024" TargetMode="External" /><Relationship Type="http://schemas.openxmlformats.org/officeDocument/2006/relationships/hyperlink" Id="rId70" Target="https://www-journals-uchicago-edu.turing.library.northwestern.edu/doi/full/10.1086/724835" TargetMode="External" /><Relationship Type="http://schemas.openxmlformats.org/officeDocument/2006/relationships/hyperlink" Id="rId51" Target="https://www.annualreviews.org/doi/10.1146/annurev-soc-060116-053331" TargetMode="External" /><Relationship Type="http://schemas.openxmlformats.org/officeDocument/2006/relationships/hyperlink" Id="rId43" Target="https://www.bakerinstitute.org/research/decline-us-wealth-and-income-inequality" TargetMode="External" /><Relationship Type="http://schemas.openxmlformats.org/officeDocument/2006/relationships/hyperlink" Id="rId106" Target="https://www.census.gov/data/tables/time-series/demo/income-poverty/historical-income-inequality.html" TargetMode="External" /><Relationship Type="http://schemas.openxmlformats.org/officeDocument/2006/relationships/hyperlink" Id="rId48" Target="https://www.journals.uchicago.edu/doi/10.1086/728741" TargetMode="External" /><Relationship Type="http://schemas.openxmlformats.org/officeDocument/2006/relationships/hyperlink" Id="rId45" Target="https://www.nber.org/papers/w33823" TargetMode="External" /><Relationship Type="http://schemas.openxmlformats.org/officeDocument/2006/relationships/hyperlink" Id="rId91" Target="https://www.ncbi.nlm.nih.gov/pmc/articles/PMC2652960/" TargetMode="External" /><Relationship Type="http://schemas.openxmlformats.org/officeDocument/2006/relationships/hyperlink" Id="rId102" Target="https://www.ncbi.nlm.nih.gov/pmc/articles/PMC9874997/" TargetMode="External" /><Relationship Type="http://schemas.openxmlformats.org/officeDocument/2006/relationships/hyperlink" Id="rId88" Target="https://www.sciencedirect.com/science/article/pii/0022053170900396" TargetMode="External" /><Relationship Type="http://schemas.openxmlformats.org/officeDocument/2006/relationships/hyperlink" Id="rId94" Target="https://www.sciencedirect.com/science/article/pii/S0277953697000440" TargetMode="External" /><Relationship Type="http://schemas.openxmlformats.org/officeDocument/2006/relationships/hyperlink" Id="rId85"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Author Name(s)</dc:creator>
  <cp:keywords>put keywords here</cp:keywords>
  <dcterms:created xsi:type="dcterms:W3CDTF">2026-02-19T23:10:09Z</dcterms:created>
  <dcterms:modified xsi:type="dcterms:W3CDTF">2026-02-19T23:10:09Z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February 19,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