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Differences in Inequality by Race</w:t>
      </w:r>
    </w:p>
    <w:tbl xmlns:a="http://schemas.openxmlformats.org/drawingml/2006/main" xmlns:pic="http://schemas.openxmlformats.org/drawingml/2006/picture">
      <w:tblPr>
        <w:tblLayout w:type="fixed"/>
        <w:jc w:val="center"/>
        <w:tblLook w:firstRow="1" w:lastRow="0" w:firstColumn="0" w:lastColumn="0" w:noHBand="0" w:noVBand="1"/>
      </w:tblPr>
      <w:tblGrid>
        <w:gridCol w:w="1384"/>
        <w:gridCol w:w="1539"/>
        <w:gridCol w:w="1771"/>
        <w:gridCol w:w="1744"/>
        <w:gridCol w:w="2011"/>
        <w:gridCol w:w="2318"/>
        <w:gridCol w:w="2291"/>
      </w:tblGrid>
      <w:tr>
        <w:trPr>
          <w:trHeight w:val="63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(Non-Black)</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0.444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0.376</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0.878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0.740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0.138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0.833</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0.709</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0.124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0.022)</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using weighted data. Income data were collected annually until 1997, and biennially thereafter. Wealth data were collected every five years from 1984 to 1999, and every other year thereafter. Both income and wealth are adjusted for inflation. Wealth is measured excluding home equity. Standard errors are shown in parentheses. Income estimates use 91,775 Black household-years and 22,213 Black clan-years, and 148,336 Non-Black household-years and 42,079 Non-Black clan-years, with 2,906 unique clans in total; 966 clans ever classified as Black and 2,003 clans ever classified as Non-Black, including 63 clans appearing in both groups across years. Wealth estimates use 46,059 Black household-years and 8,608 Black clan-years, and 74,813 Non-Black household-years and 18,047 Non-Black clan-years, with 2,636 unique clans in total; 827 clans ever classified as Black and 1,853 clans ever classified as Non-Black, including 44 clans appearing in both groups across years.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2026-02-19T12:01:48Z</dcterms:modified>
  <cp:category/>
</cp:coreProperties>
</file>