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X. Weighted Income Median, Mean, and Quintile Means for Households and Clans – 1979, 1999,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2600"/>
        <w:gridCol w:w="1878"/>
        <w:gridCol w:w="1512"/>
        <w:gridCol w:w="1695"/>
        <w:gridCol w:w="1609"/>
        <w:gridCol w:w="1512"/>
        <w:gridCol w:w="1512"/>
        <w:gridCol w:w="1695"/>
        <w:gridCol w:w="1695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Lowest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2nd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3rd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4th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Highest 20%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10,928.00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12,856.21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3,201.21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7,026.94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10,976.28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15,854.67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27,306.19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31,882.44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36,085.71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13,075.37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22,524.21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31,909.43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43,061.90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69,999.90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69,268.88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95,435.26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17,381.53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44,644.40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69,592.51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105,568.46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240,132.66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298,728.62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379,381.70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96,374.91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194,552.30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299,525.72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440,861.21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866,286.25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148,140.06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210,778.79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30,798.39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85,829.27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148,762.18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239,734.61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550,304.25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733,758.10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1,037,897.44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219,692.68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468,861.87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738,288.51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1,188,984.04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2,576,304.27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All values are weighted using PSID family or clan weights. Both median and quintile means are computed within each year’s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2025-10-06T20:26:32Z</dcterms:modified>
  <cp:category/>
</cp:coreProperties>
</file>