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4A. Income Summary Statisics by Race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3"/>
        <w:gridCol w:w="1206"/>
        <w:gridCol w:w="1719"/>
        <w:gridCol w:w="1401"/>
        <w:gridCol w:w="1878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Black % Wtd.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 Non-Black</w:t>
            </w:r>
          </w:p>
        </w:tc>
      </w:tr>
      <w:tr>
        <w:trPr>
          <w:trHeight w:val="59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233,551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14.5%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0.418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62,657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0.358</w:t>
            </w:r>
          </w:p>
        </w:tc>
      </w:tr>
    </w:tbl>
    <w:p>
      <w:pPr>
        <w:pStyle w:val="TableCaption"/>
        <w:jc w:val="righ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4C. Wealth Summary Statistics by Race</w:t>
      </w:r>
    </w:p>
    <w:tbl xmlns:a="http://schemas.openxmlformats.org/drawingml/2006/main" xmlns:pic="http://schemas.openxmlformats.org/drawingml/2006/picture">
      <w:tblPr>
        <w:tblLayout w:type="fixed"/>
        <w:jc w:val="end"/>
        <w:tblLook w:firstRow="1" w:lastRow="0" w:firstColumn="0" w:lastColumn="0" w:noHBand="0" w:noVBand="1"/>
      </w:tblPr>
      <w:tblGrid>
        <w:gridCol w:w="1573"/>
        <w:gridCol w:w="1206"/>
        <w:gridCol w:w="1719"/>
        <w:gridCol w:w="1401"/>
        <w:gridCol w:w="1878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Black % Wtd.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 Non-Black</w:t>
            </w:r>
          </w:p>
        </w:tc>
      </w:tr>
      <w:tr>
        <w:trPr>
          <w:trHeight w:val="59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113,513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15.3%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25,043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2025-10-06T19:24:35Z</dcterms:modified>
  <cp:category/>
</cp:coreProperties>
</file>