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1B. Income Quintiles for Households and Clans: 1979, 1999,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3"/>
        <w:gridCol w:w="2600"/>
        <w:gridCol w:w="1878"/>
        <w:gridCol w:w="839"/>
        <w:gridCol w:w="1206"/>
        <w:gridCol w:w="1389"/>
        <w:gridCol w:w="1609"/>
        <w:gridCol w:w="1279"/>
        <w:gridCol w:w="1230"/>
        <w:gridCol w:w="1389"/>
        <w:gridCol w:w="165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Lowest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2nd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3rd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4th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Highest 20%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10,928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12,856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3,201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7,027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10,976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15,855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27,306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36,086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22,524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31,909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43,062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70,000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69,269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95,435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17,382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44,644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69,593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105,568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240,133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298,729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379,382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96,375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194,552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299,526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440,861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866,286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148,140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210,779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30,798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85,829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148,762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239,735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550,304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733,758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1,037,897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219,693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468,862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738,289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1,188,984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2,576,304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Values are weighted. Quintile means are computed within each year’s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2025-10-07T07:08:48Z</dcterms:modified>
  <cp:category/>
</cp:coreProperties>
</file>