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2B. Wealth Quintiles for Households and Clans: 1989, 2009,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3"/>
        <w:gridCol w:w="2600"/>
        <w:gridCol w:w="1878"/>
        <w:gridCol w:w="839"/>
        <w:gridCol w:w="1206"/>
        <w:gridCol w:w="1389"/>
        <w:gridCol w:w="1609"/>
        <w:gridCol w:w="1279"/>
        <w:gridCol w:w="1230"/>
        <w:gridCol w:w="1389"/>
        <w:gridCol w:w="165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Individuals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Avg. No. of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Lowest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2nd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3rd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4th 20%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Highest 20%</w:t>
            </w:r>
          </w:p>
        </w:tc>
      </w:tr>
      <w:tr>
        <w:trPr>
          <w:trHeight w:val="59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14,532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99,853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-5,291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3,917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15,231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49,516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438,167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99,375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293,929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-3,297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38,882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101,744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228,821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1,106,564</w:t>
            </w:r>
          </w:p>
        </w:tc>
      </w:tr>
      <w:tr>
        <w:trPr>
          <w:trHeight w:val="59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42,229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591,820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-47,579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7,471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44,740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211,172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2,753,334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549,183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2,255,262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-49,710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158,523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566,438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1,520,196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9,091,779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 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50,342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676,972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-82,758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55,176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265,969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3,149,361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655,458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2,829,425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-118,474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176,829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712,819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2,211,362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11,227,894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Values are weighted. Quintile means are computed within each year’s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2025-10-07T07:08:49Z</dcterms:modified>
  <cp:category/>
</cp:coreProperties>
</file>