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Average Gini Coefficients Over Time</w:t>
      </w:r>
    </w:p>
    <w:tbl xmlns:a="http://schemas.openxmlformats.org/drawingml/2006/main" xmlns:pic="http://schemas.openxmlformats.org/drawingml/2006/picture">
      <w:tblPr>
        <w:tblLayout w:type="fixed"/>
        <w:jc w:val="center"/>
        <w:tblLook w:firstRow="1" w:lastRow="0" w:firstColumn="0" w:lastColumn="0" w:noHBand="0" w:noVBand="1"/>
      </w:tblPr>
      <w:tblGrid>
        <w:gridCol w:w="1573"/>
        <w:gridCol w:w="1132"/>
        <w:gridCol w:w="1095"/>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Income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Wealth</w:t>
            </w:r>
          </w:p>
        </w:tc>
      </w:tr>
      <w:tr>
        <w:trPr>
          <w:trHeight w:val="57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Households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0.430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0.882</w:t>
            </w:r>
          </w:p>
        </w:tc>
      </w:tr>
      <w:tr>
        <w:trPr>
          <w:trHeight w:val="577"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Clans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0.748</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Wealth is measured excluding home equity.
Standard errors are shown in parentheses.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2025-10-07T07:08:45Z</dcterms:modified>
  <cp:category/>
</cp:coreProperties>
</file>