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1206"/>
        <w:gridCol w:w="1683"/>
        <w:gridCol w:w="1205"/>
        <w:gridCol w:w="2600"/>
        <w:gridCol w:w="2722"/>
        <w:gridCol w:w="1915"/>
        <w:gridCol w:w="187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Unique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Households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 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 Wealth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233,551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50,933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37,253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62,657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169,716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383,218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Statistics pool all years. Percent Black and central tendencies are weighted values. Wealth excludes home equity.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2025-10-07T07:08:47Z</dcterms:modified>
  <cp:category/>
</cp:coreProperties>
</file>