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0.928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0.683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0.245</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0.048)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0.781</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0.645</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0.023)</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using weighted data. Income data were collected annually until 1997, and biennially thereafter. Wealth data were collected every five years from 1984 to 1999, and every other year thereafter. Both income and wealth are adjusted for inflation. Wealth is measured including home equity. Standard errors are shown in parentheses. Income estimates use 91,775 Black household-years and 22,213 Black clan-years, and 148,336 Non-Black household-years and 42,079 Non-Black clan-years, with 2,906 unique clans in total; 966 clans ever classified as Black and 2,003 clans ever classified as Non-Black, including 63 clans appearing in both groups across years. Wealth estimates use 46,059 Black household-years and 8,608 Black clan-years, and 74,813 Non-Black household-years and 18,047 Non-Black clan-years, with 2,636 unique clans in total; 827 clans ever classified as Black and 1,853 clans ever classified as Non-Black, including 44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2026-02-19T20:30:33Z</dcterms:modified>
  <cp:category/>
</cp:coreProperties>
</file>