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May 29,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 “ kin groups”.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include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Other work highlights the unique role of kinship networks in shaping economic outcomes by race</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compare median wealth ratios that rely on household-level values with those that rely on kin group-level values.</w:t>
      </w:r>
    </w:p>
    <w:p>
      <w:pPr>
        <w:pStyle w:val="BodyText"/>
      </w:pP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Using simulated data, Appendix Table A shows that it is possible to obtain kin group-level Gini coefficients equal to or even higher than household-level Gini coefficients. The direction and degree of change in the Gini coefficient from the household to the kin group level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0.82 at the household level versus 0.66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today’s kin group inequality should be viewed as similarly consequential.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(kin groups). Weighted mean wealth: $490,457 (households), $1,884,939 (kin groups; includes home equity). Income Ginis changed by 16.0% for households (0.41 in 1969 to 0.48 in 2023) and by 20.6% for kin groups (0.30 to 0.36). Wealth Ginis changed by 4.5% for households (0.78 in 1984 to 0.81 in 2023) and by 4.4% for kin groups (0.61 to 0.64). On average across all years, the income Gini is 0.123 higher for households than kin groups; the wealth Gini is 0.160 higher.</w:t>
      </w:r>
      <w:r>
        <w:rPr>
          <w:i/>
          <w:iCs/>
        </w:rPr>
        <w:t xml:space="preserve"> </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0.78 in 1984 to 0.81 in 2023, a 4.5% increase. At the kin group level, it rose from 0.61 to 0.64 over the same period, which also constitutes a 4.4%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$27,647 ($22,520) for households, $85,338 ($71,914) for kin groups. Income in 2023: $297,591 ($196,196) for households, $1,487,913 ($1,059,244)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20 cents for every dollar held by the typical non-Black kin group (ranging from 24 cents in 1994 to 14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1969-2023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$6,908 for Black households and $79,216 for Non-Black households. For kin groups, the weighted median wealth is $58,326 for Black kin groups and $306,988 for Non-Black kin groups. Median ratio changed by -4.6% for households (0.074 in 1984 to 0.071 in 2023) and 7.5% for kin groups (0.201 to 0.216). On average across all years, the median wealth ratio for kin groups is 0.112 higher than for households. See Appendix E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Results from these sensitivity analyses are available in Appendices C and 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upwards. Results from these sensitivity analyses are available in Appendix E.</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 “kin group society”—that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 “household society” 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Appendix C4).</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 “nuclear family”</w:t>
      </w:r>
      <w:r>
        <w:t xml:space="preserve"> </w:t>
      </w:r>
      <w:r>
        <w:t xml:space="preserve">[38]</w:t>
      </w:r>
      <w:r>
        <w:t xml:space="preserve">. Across all measures, we find that estimated inequality is consistently lower when measured at the kin group level than at the household level for both income and wealth (see Appendix D).</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Appendix A1 shows the minimum possible difference between kin group and household Gini coefficients in the simulated data, while Appendix A2 shows the maximum possible difference. Curves show that Gini coefficients at the kin group level can exceed those of households. Appendix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39]</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[20, 40]</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8"/>
    <w:bookmarkEnd w:id="39"/>
    <w:bookmarkStart w:id="64" w:name="X1a48765accbb976c449929efb9c303c48aeac11"/>
    <w:p>
      <w:pPr>
        <w:pStyle w:val="Heading1"/>
      </w:pPr>
      <w:r>
        <w:t xml:space="preserve">Appendix C: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43" w:name="X2af1039fa4a14e53aec9c9fa061f4e8992f7595"/>
    <w:p>
      <w:pPr>
        <w:pStyle w:val="Heading2"/>
      </w:pPr>
      <w:r>
        <w:t xml:space="preserve">Appendix C1: Gini Coefficients by Race Subgroup</w:t>
      </w:r>
    </w:p>
    <w:p>
      <w:pPr>
        <w:pStyle w:val="FirstParagraph"/>
      </w:pPr>
      <w:r>
        <w:t xml:space="preserve">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pPr>
        <w:pStyle w:val="BodyText"/>
      </w:pPr>
      <w:r>
        <w:drawing>
          <wp:inline>
            <wp:extent cx="5334000" cy="4191000"/>
            <wp:effectExtent b="0" l="0" r="0" t="0"/>
            <wp:docPr descr="" title="" id="41" name="Picture"/>
            <a:graphic>
              <a:graphicData uri="http://schemas.openxmlformats.org/drawingml/2006/picture">
                <pic:pic>
                  <pic:nvPicPr>
                    <pic:cNvPr descr="/Users/amanda/Desktop/clan_project/10_draft/output/write_files/figure-docx/appendix-c1-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bookmarkEnd w:id="43"/>
    <w:bookmarkStart w:id="47" w:name="X05171309a402648ffa9946822f50c48bfc2d2fb"/>
    <w:p>
      <w:pPr>
        <w:pStyle w:val="Heading2"/>
      </w:pPr>
      <w:r>
        <w:t xml:space="preserve">Appendix C2: Sensitivity — Single-Household Clans</w:t>
      </w:r>
    </w:p>
    <w:p>
      <w:pPr>
        <w:pStyle w:val="FirstParagraph"/>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 “kin groupless” 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pPr>
        <w:pStyle w:val="BodyText"/>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c2-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pPr>
        <w:pStyle w:val="BodyText"/>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c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pPr>
        <w:pStyle w:val="BodyText"/>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c4-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X77e9005b9b6a06de423e46c0fd275669ef06bbc"/>
    <w:p>
      <w:pPr>
        <w:pStyle w:val="Heading2"/>
      </w:pPr>
      <w:r>
        <w:t xml:space="preserve">Appendix C5: Sensitivity — Size Standardization</w:t>
      </w:r>
    </w:p>
    <w:p>
      <w:pPr>
        <w:pStyle w:val="FirstParagraph"/>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pPr>
        <w:pStyle w:val="BodyText"/>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c5-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pPr>
        <w:pStyle w:val="BodyText"/>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c6-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End w:id="64"/>
    <w:bookmarkStart w:id="68"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[38]</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pPr>
        <w:pStyle w:val="BodyText"/>
      </w:pPr>
      <w:r>
        <w:drawing>
          <wp:inline>
            <wp:extent cx="5334000" cy="4953000"/>
            <wp:effectExtent b="0" l="0" r="0" t="0"/>
            <wp:docPr descr="" title="" id="66" name="Picture"/>
            <a:graphic>
              <a:graphicData uri="http://schemas.openxmlformats.org/drawingml/2006/picture">
                <pic:pic>
                  <pic:nvPicPr>
                    <pic:cNvPr descr="/Users/amanda/Desktop/clan_project/10_draft/output/write_files/figure-docx/appendix-d-1.png" id="67" name="Picture"/>
                    <pic:cNvPicPr>
                      <a:picLocks noChangeArrowheads="1" noChangeAspect="1"/>
                    </pic:cNvPicPr>
                  </pic:nvPicPr>
                  <pic:blipFill>
                    <a:blip r:embed="rId65"/>
                    <a:stretch>
                      <a:fillRect/>
                    </a:stretch>
                  </pic:blipFill>
                  <pic:spPr bwMode="auto">
                    <a:xfrm>
                      <a:off x="0" y="0"/>
                      <a:ext cx="5334000" cy="4953000"/>
                    </a:xfrm>
                    <a:prstGeom prst="rect">
                      <a:avLst/>
                    </a:prstGeom>
                    <a:noFill/>
                    <a:ln w="9525">
                      <a:noFill/>
                      <a:headEnd/>
                      <a:tailEnd/>
                    </a:ln>
                  </pic:spPr>
                </pic:pic>
              </a:graphicData>
            </a:graphic>
          </wp:inline>
        </w:drawing>
      </w:r>
    </w:p>
    <w:bookmarkEnd w:id="68"/>
    <w:bookmarkStart w:id="183" w:name="X5f622d6d803146b163d9253c739d30f2df1566c"/>
    <w:p>
      <w:pPr>
        <w:pStyle w:val="Heading1"/>
      </w:pPr>
      <w:r>
        <w:t xml:space="preserve">Appendix E: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Appendix E1 explains the difference between the mean and median wealth ratios and why median racial wealth gaps are presented.</w:t>
      </w:r>
    </w:p>
    <w:bookmarkStart w:id="72" w:name="Xaf4b4e30a82a5efc110f75affa781b311e02b22"/>
    <w:p>
      <w:pPr>
        <w:pStyle w:val="Heading2"/>
      </w:pPr>
      <w:r>
        <w:t xml:space="preserve">Appendix E1: Mean and Median Wealth Ratios</w:t>
      </w:r>
    </w:p>
    <w:p>
      <w:pPr>
        <w:pStyle w:val="FirstParagraph"/>
      </w:pPr>
      <w:r>
        <w:t xml:space="preserve">Appendix E1 reports Black / non-Black wealth ratios using weighted means for both households and kin groups. Panel A reproduces the median wealth ratios (as in Figure 3),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pPr>
        <w:pStyle w:val="BodyText"/>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e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d5a9b67d5a8e965514382ecfe1cc3ed9659fe17"/>
    <w:p>
      <w:pPr>
        <w:pStyle w:val="Heading2"/>
      </w:pPr>
      <w:r>
        <w:t xml:space="preserve">Appendix E2: Race Ratios — Single-Household Clans</w:t>
      </w:r>
    </w:p>
    <w:p>
      <w:pPr>
        <w:pStyle w:val="FirstParagraph"/>
      </w:pPr>
      <w:r>
        <w:t xml:space="preserve">Appendix E2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pPr>
        <w:pStyle w:val="BodyText"/>
      </w:pPr>
      <w:r>
        <w:drawing>
          <wp:inline>
            <wp:extent cx="5334000" cy="4191000"/>
            <wp:effectExtent b="0" l="0" r="0" t="0"/>
            <wp:docPr descr="" title="" id="74" name="Picture"/>
            <a:graphic>
              <a:graphicData uri="http://schemas.openxmlformats.org/drawingml/2006/picture">
                <pic:pic>
                  <pic:nvPicPr>
                    <pic:cNvPr descr="/Users/amanda/Desktop/clan_project/10_draft/output/write_files/figure-docx/appendix-e2-1.png" id="75" name="Picture"/>
                    <pic:cNvPicPr>
                      <a:picLocks noChangeArrowheads="1" noChangeAspect="1"/>
                    </pic:cNvPicPr>
                  </pic:nvPicPr>
                  <pic:blipFill>
                    <a:blip r:embed="rId73"/>
                    <a:stretch>
                      <a:fillRect/>
                    </a:stretch>
                  </pic:blipFill>
                  <pic:spPr bwMode="auto">
                    <a:xfrm>
                      <a:off x="0" y="0"/>
                      <a:ext cx="5334000" cy="4191000"/>
                    </a:xfrm>
                    <a:prstGeom prst="rect">
                      <a:avLst/>
                    </a:prstGeom>
                    <a:noFill/>
                    <a:ln w="9525">
                      <a:noFill/>
                      <a:headEnd/>
                      <a:tailEnd/>
                    </a:ln>
                  </pic:spPr>
                </pic:pic>
              </a:graphicData>
            </a:graphic>
          </wp:inline>
        </w:drawing>
      </w:r>
    </w:p>
    <w:bookmarkEnd w:id="76"/>
    <w:bookmarkStart w:id="80" w:name="X4f8f6757e41621a604b96cab76adac83d382470"/>
    <w:p>
      <w:pPr>
        <w:pStyle w:val="Heading2"/>
      </w:pPr>
      <w:r>
        <w:t xml:space="preserve">Appendix E3: Race Ratios — Wealth With and Without Home Equity</w:t>
      </w:r>
    </w:p>
    <w:p>
      <w:pPr>
        <w:pStyle w:val="FirstParagraph"/>
      </w:pPr>
      <w:r>
        <w:t xml:space="preserve">Appendix E3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pPr>
        <w:pStyle w:val="BodyText"/>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e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84" w:name="appendix-e4-race-ratios-negative-values"/>
    <w:p>
      <w:pPr>
        <w:pStyle w:val="Heading2"/>
      </w:pPr>
      <w:r>
        <w:t xml:space="preserve">Appendix E4: Race Ratios — Negative Values</w:t>
      </w:r>
    </w:p>
    <w:p>
      <w:pPr>
        <w:pStyle w:val="FirstParagraph"/>
      </w:pPr>
      <w:r>
        <w:t xml:space="preserve">Appendix E4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pPr>
        <w:pStyle w:val="BodyText"/>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e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End w:id="84"/>
    <w:bookmarkStart w:id="88" w:name="Xd6511b1b6585925de2919b20c244f05b533908a"/>
    <w:p>
      <w:pPr>
        <w:pStyle w:val="Heading2"/>
      </w:pPr>
      <w:r>
        <w:t xml:space="preserve">Appendix E5: Race Ratios — Size Standardization</w:t>
      </w:r>
    </w:p>
    <w:p>
      <w:pPr>
        <w:pStyle w:val="FirstParagraph"/>
      </w:pPr>
      <w:r>
        <w:t xml:space="preserve">Appendix E5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pPr>
        <w:pStyle w:val="BodyText"/>
      </w:pPr>
      <w:r>
        <w:drawing>
          <wp:inline>
            <wp:extent cx="5334000" cy="4191000"/>
            <wp:effectExtent b="0" l="0" r="0" t="0"/>
            <wp:docPr descr="" title="" id="86" name="Picture"/>
            <a:graphic>
              <a:graphicData uri="http://schemas.openxmlformats.org/drawingml/2006/picture">
                <pic:pic>
                  <pic:nvPicPr>
                    <pic:cNvPr descr="/Users/amanda/Desktop/clan_project/10_draft/output/write_files/figure-docx/appendix-e5-1.png" id="87" name="Picture"/>
                    <pic:cNvPicPr>
                      <a:picLocks noChangeArrowheads="1" noChangeAspect="1"/>
                    </pic:cNvPicPr>
                  </pic:nvPicPr>
                  <pic:blipFill>
                    <a:blip r:embed="rId85"/>
                    <a:stretch>
                      <a:fillRect/>
                    </a:stretch>
                  </pic:blipFill>
                  <pic:spPr bwMode="auto">
                    <a:xfrm>
                      <a:off x="0" y="0"/>
                      <a:ext cx="5334000" cy="4191000"/>
                    </a:xfrm>
                    <a:prstGeom prst="rect">
                      <a:avLst/>
                    </a:prstGeom>
                    <a:noFill/>
                    <a:ln w="9525">
                      <a:noFill/>
                      <a:headEnd/>
                      <a:tailEnd/>
                    </a:ln>
                  </pic:spPr>
                </pic:pic>
              </a:graphicData>
            </a:graphic>
          </wp:inline>
        </w:drawing>
      </w:r>
    </w:p>
    <w:bookmarkEnd w:id="88"/>
    <w:bookmarkStart w:id="182" w:name="appendix-e6-race-ratios-weighting"/>
    <w:p>
      <w:pPr>
        <w:pStyle w:val="Heading2"/>
      </w:pPr>
      <w:r>
        <w:t xml:space="preserve">Appendix E6: Race Ratios — Weighting</w:t>
      </w:r>
    </w:p>
    <w:p>
      <w:pPr>
        <w:pStyle w:val="FirstParagraph"/>
      </w:pPr>
      <w:r>
        <w:t xml:space="preserve">Appendix E6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90" name="Picture"/>
            <a:graphic>
              <a:graphicData uri="http://schemas.openxmlformats.org/drawingml/2006/picture">
                <pic:pic>
                  <pic:nvPicPr>
                    <pic:cNvPr descr="/Users/amanda/Desktop/clan_project/10_draft/output/write_files/figure-docx/appendix-e6-1.png" id="91" name="Picture"/>
                    <pic:cNvPicPr>
                      <a:picLocks noChangeArrowheads="1" noChangeAspect="1"/>
                    </pic:cNvPicPr>
                  </pic:nvPicPr>
                  <pic:blipFill>
                    <a:blip r:embed="rId89"/>
                    <a:stretch>
                      <a:fillRect/>
                    </a:stretch>
                  </pic:blipFill>
                  <pic:spPr bwMode="auto">
                    <a:xfrm>
                      <a:off x="0" y="0"/>
                      <a:ext cx="5334000" cy="4191000"/>
                    </a:xfrm>
                    <a:prstGeom prst="rect">
                      <a:avLst/>
                    </a:prstGeom>
                    <a:noFill/>
                    <a:ln w="9525">
                      <a:noFill/>
                      <a:headEnd/>
                      <a:tailEnd/>
                    </a:ln>
                  </pic:spPr>
                </pic:pic>
              </a:graphicData>
            </a:graphic>
          </wp:inline>
        </w:drawing>
      </w:r>
    </w:p>
    <w:bookmarkStart w:id="181" w:name="refs"/>
    <w:bookmarkStart w:id="93"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2">
        <w:r>
          <w:rPr>
            <w:rStyle w:val="Hyperlink"/>
          </w:rPr>
          <w:t xml:space="preserve">https://fred.stlouisfed.org/series/SIPOVGINIUSA</w:t>
        </w:r>
      </w:hyperlink>
    </w:p>
    <w:bookmarkEnd w:id="93"/>
    <w:bookmarkStart w:id="95"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4">
        <w:r>
          <w:rPr>
            <w:rStyle w:val="Hyperlink"/>
          </w:rPr>
          <w:t xml:space="preserve">https://www.bakerinstitute.org/research/decline-us-wealth-and-income-inequality</w:t>
        </w:r>
      </w:hyperlink>
    </w:p>
    <w:bookmarkEnd w:id="95"/>
    <w:bookmarkStart w:id="98"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6">
        <w:r>
          <w:rPr>
            <w:rStyle w:val="Hyperlink"/>
          </w:rPr>
          <w:t xml:space="preserve">https://www.nber.org/papers/w33823</w:t>
        </w:r>
      </w:hyperlink>
      <w:r>
        <w:t xml:space="preserve">. doi:</w:t>
      </w:r>
      <w:hyperlink r:id="rId97">
        <w:r>
          <w:rPr>
            <w:rStyle w:val="Hyperlink"/>
          </w:rPr>
          <w:t xml:space="preserve">10.3386/w33823</w:t>
        </w:r>
      </w:hyperlink>
    </w:p>
    <w:bookmarkEnd w:id="98"/>
    <w:bookmarkStart w:id="101"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9">
        <w:r>
          <w:rPr>
            <w:rStyle w:val="Hyperlink"/>
          </w:rPr>
          <w:t xml:space="preserve">https://www.journals.uchicago.edu/doi/10.1086/728741</w:t>
        </w:r>
      </w:hyperlink>
      <w:r>
        <w:t xml:space="preserve">. doi:</w:t>
      </w:r>
      <w:hyperlink r:id="rId100">
        <w:r>
          <w:rPr>
            <w:rStyle w:val="Hyperlink"/>
          </w:rPr>
          <w:t xml:space="preserve">10.1086/728741</w:t>
        </w:r>
      </w:hyperlink>
    </w:p>
    <w:bookmarkEnd w:id="101"/>
    <w:bookmarkStart w:id="104"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2">
        <w:r>
          <w:rPr>
            <w:rStyle w:val="Hyperlink"/>
          </w:rPr>
          <w:t xml:space="preserve">https://www.annualreviews.org/doi/10.1146/annurev-soc-060116-053331</w:t>
        </w:r>
      </w:hyperlink>
      <w:r>
        <w:t xml:space="preserve">. doi:</w:t>
      </w:r>
      <w:hyperlink r:id="rId103">
        <w:r>
          <w:rPr>
            <w:rStyle w:val="Hyperlink"/>
          </w:rPr>
          <w:t xml:space="preserve">10.1146/annurev-soc-060116-053331</w:t>
        </w:r>
      </w:hyperlink>
    </w:p>
    <w:bookmarkEnd w:id="104"/>
    <w:bookmarkStart w:id="106"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5">
        <w:r>
          <w:rPr>
            <w:rStyle w:val="Hyperlink"/>
          </w:rPr>
          <w:t xml:space="preserve">https://doi.org/10.1093/qje/qjw004</w:t>
        </w:r>
      </w:hyperlink>
      <w:r>
        <w:t xml:space="preserve">. doi:</w:t>
      </w:r>
      <w:hyperlink r:id="rId105">
        <w:r>
          <w:rPr>
            <w:rStyle w:val="Hyperlink"/>
          </w:rPr>
          <w:t xml:space="preserve">10.1093/qje/qjw004</w:t>
        </w:r>
      </w:hyperlink>
    </w:p>
    <w:bookmarkEnd w:id="106"/>
    <w:bookmarkStart w:id="107"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7"/>
    <w:bookmarkStart w:id="109"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8">
        <w:r>
          <w:rPr>
            <w:rStyle w:val="Hyperlink"/>
          </w:rPr>
          <w:t xml:space="preserve">10.1037/11282-004</w:t>
        </w:r>
      </w:hyperlink>
    </w:p>
    <w:bookmarkEnd w:id="109"/>
    <w:bookmarkStart w:id="111"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10">
        <w:r>
          <w:rPr>
            <w:rStyle w:val="Hyperlink"/>
          </w:rPr>
          <w:t xml:space="preserve">https://doi.org/10.1007/s13524-018-0719-y</w:t>
        </w:r>
      </w:hyperlink>
      <w:r>
        <w:t xml:space="preserve">. doi:</w:t>
      </w:r>
      <w:hyperlink r:id="rId110">
        <w:r>
          <w:rPr>
            <w:rStyle w:val="Hyperlink"/>
          </w:rPr>
          <w:t xml:space="preserve">10.1007/s13524-018-0719-y</w:t>
        </w:r>
      </w:hyperlink>
    </w:p>
    <w:bookmarkEnd w:id="111"/>
    <w:bookmarkStart w:id="113"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2">
        <w:r>
          <w:rPr>
            <w:rStyle w:val="Hyperlink"/>
          </w:rPr>
          <w:t xml:space="preserve">https://doi.org/10.1007/s13524-011-0014-7</w:t>
        </w:r>
      </w:hyperlink>
      <w:r>
        <w:t xml:space="preserve">. doi:</w:t>
      </w:r>
      <w:hyperlink r:id="rId112">
        <w:r>
          <w:rPr>
            <w:rStyle w:val="Hyperlink"/>
          </w:rPr>
          <w:t xml:space="preserve">10.1007/s13524-011-0014-7</w:t>
        </w:r>
      </w:hyperlink>
    </w:p>
    <w:bookmarkEnd w:id="113"/>
    <w:bookmarkStart w:id="115"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4">
        <w:r>
          <w:rPr>
            <w:rStyle w:val="Hyperlink"/>
          </w:rPr>
          <w:t xml:space="preserve">https://doi.org/10.1093/ser/mwad033</w:t>
        </w:r>
      </w:hyperlink>
      <w:r>
        <w:t xml:space="preserve">. doi:</w:t>
      </w:r>
      <w:hyperlink r:id="rId114">
        <w:r>
          <w:rPr>
            <w:rStyle w:val="Hyperlink"/>
          </w:rPr>
          <w:t xml:space="preserve">10.1093/ser/mwad033</w:t>
        </w:r>
      </w:hyperlink>
    </w:p>
    <w:bookmarkEnd w:id="115"/>
    <w:bookmarkStart w:id="117"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6">
        <w:r>
          <w:rPr>
            <w:rStyle w:val="Hyperlink"/>
          </w:rPr>
          <w:t xml:space="preserve">https://doi.org/10.1177/00031224251319001</w:t>
        </w:r>
      </w:hyperlink>
      <w:r>
        <w:t xml:space="preserve">. doi:</w:t>
      </w:r>
      <w:hyperlink r:id="rId116">
        <w:r>
          <w:rPr>
            <w:rStyle w:val="Hyperlink"/>
          </w:rPr>
          <w:t xml:space="preserve">10.1177/00031224251319001</w:t>
        </w:r>
      </w:hyperlink>
    </w:p>
    <w:bookmarkEnd w:id="117"/>
    <w:bookmarkStart w:id="120"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118">
        <w:r>
          <w:rPr>
            <w:rStyle w:val="Hyperlink"/>
          </w:rPr>
          <w:t xml:space="preserve">https://www.pnas.org/doi/10.1073/pnas.2315722120</w:t>
        </w:r>
      </w:hyperlink>
      <w:r>
        <w:t xml:space="preserve">. doi:</w:t>
      </w:r>
      <w:hyperlink r:id="rId119">
        <w:r>
          <w:rPr>
            <w:rStyle w:val="Hyperlink"/>
          </w:rPr>
          <w:t xml:space="preserve">10.1073/pnas.2315722120</w:t>
        </w:r>
      </w:hyperlink>
    </w:p>
    <w:bookmarkEnd w:id="120"/>
    <w:bookmarkStart w:id="123"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21">
        <w:r>
          <w:rPr>
            <w:rStyle w:val="Hyperlink"/>
          </w:rPr>
          <w:t xml:space="preserve">https://pubs.aeaweb.org/doi/10.1257/aer.20190553</w:t>
        </w:r>
      </w:hyperlink>
      <w:r>
        <w:t xml:space="preserve">. doi:</w:t>
      </w:r>
      <w:hyperlink r:id="rId122">
        <w:r>
          <w:rPr>
            <w:rStyle w:val="Hyperlink"/>
          </w:rPr>
          <w:t xml:space="preserve">10.1257/aer.20190553</w:t>
        </w:r>
      </w:hyperlink>
    </w:p>
    <w:bookmarkEnd w:id="123"/>
    <w:bookmarkStart w:id="126"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24">
        <w:r>
          <w:rPr>
            <w:rStyle w:val="Hyperlink"/>
          </w:rPr>
          <w:t xml:space="preserve">https://www-journals-uchicago-edu.turing.library.northwestern.edu/doi/full/10.1086/724835</w:t>
        </w:r>
      </w:hyperlink>
      <w:r>
        <w:t xml:space="preserve">. doi:</w:t>
      </w:r>
      <w:hyperlink r:id="rId125">
        <w:r>
          <w:rPr>
            <w:rStyle w:val="Hyperlink"/>
          </w:rPr>
          <w:t xml:space="preserve">https://doi.org/10.1086/724835</w:t>
        </w:r>
      </w:hyperlink>
    </w:p>
    <w:bookmarkEnd w:id="126"/>
    <w:bookmarkStart w:id="128"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7">
        <w:r>
          <w:rPr>
            <w:rStyle w:val="Hyperlink"/>
          </w:rPr>
          <w:t xml:space="preserve">10.1007/s13524-019-00772-8</w:t>
        </w:r>
      </w:hyperlink>
    </w:p>
    <w:bookmarkEnd w:id="128"/>
    <w:bookmarkStart w:id="130"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9">
        <w:r>
          <w:rPr>
            <w:rStyle w:val="Hyperlink"/>
          </w:rPr>
          <w:t xml:space="preserve">10.4324/9780203707425</w:t>
        </w:r>
      </w:hyperlink>
    </w:p>
    <w:bookmarkEnd w:id="130"/>
    <w:bookmarkStart w:id="133"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1">
        <w:r>
          <w:rPr>
            <w:rStyle w:val="Hyperlink"/>
          </w:rPr>
          <w:t xml:space="preserve">https://www-annualreviews-org.turing.library.northwestern.edu/content/journals/10.1146/annurev-soc-030320-115024</w:t>
        </w:r>
      </w:hyperlink>
      <w:r>
        <w:t xml:space="preserve">. doi:</w:t>
      </w:r>
      <w:hyperlink r:id="rId132">
        <w:r>
          <w:rPr>
            <w:rStyle w:val="Hyperlink"/>
          </w:rPr>
          <w:t xml:space="preserve">doi.org/10.1146/annurev-soc-030320-115024</w:t>
        </w:r>
      </w:hyperlink>
    </w:p>
    <w:bookmarkEnd w:id="133"/>
    <w:bookmarkStart w:id="136"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4">
        <w:r>
          <w:rPr>
            <w:rStyle w:val="Hyperlink"/>
          </w:rPr>
          <w:t xml:space="preserve">https://www.sciencedirect.com/science/article/pii/S2352827319303623</w:t>
        </w:r>
      </w:hyperlink>
      <w:r>
        <w:t xml:space="preserve">. doi:</w:t>
      </w:r>
      <w:hyperlink r:id="rId135">
        <w:r>
          <w:rPr>
            <w:rStyle w:val="Hyperlink"/>
          </w:rPr>
          <w:t xml:space="preserve">10.1016/j.ssmph.2020.100564</w:t>
        </w:r>
      </w:hyperlink>
    </w:p>
    <w:bookmarkEnd w:id="136"/>
    <w:bookmarkStart w:id="138"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7">
        <w:r>
          <w:rPr>
            <w:rStyle w:val="Hyperlink"/>
          </w:rPr>
          <w:t xml:space="preserve">10.1177/0002716213497452</w:t>
        </w:r>
      </w:hyperlink>
    </w:p>
    <w:bookmarkEnd w:id="138"/>
    <w:bookmarkStart w:id="139"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139"/>
    <w:bookmarkStart w:id="141"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140">
        <w:r>
          <w:rPr>
            <w:rStyle w:val="Hyperlink"/>
          </w:rPr>
          <w:t xml:space="preserve">https://doi.org/10.1353/dem.2005.0036</w:t>
        </w:r>
      </w:hyperlink>
      <w:r>
        <w:t xml:space="preserve">. doi:</w:t>
      </w:r>
      <w:hyperlink r:id="rId140">
        <w:r>
          <w:rPr>
            <w:rStyle w:val="Hyperlink"/>
          </w:rPr>
          <w:t xml:space="preserve">10.1353/dem.2005.0036</w:t>
        </w:r>
      </w:hyperlink>
    </w:p>
    <w:bookmarkEnd w:id="141"/>
    <w:bookmarkStart w:id="143"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42">
        <w:r>
          <w:rPr>
            <w:rStyle w:val="Hyperlink"/>
          </w:rPr>
          <w:t xml:space="preserve">10.1177/0003122417695791</w:t>
        </w:r>
      </w:hyperlink>
    </w:p>
    <w:bookmarkEnd w:id="143"/>
    <w:bookmarkStart w:id="144"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44"/>
    <w:bookmarkStart w:id="146"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45">
        <w:r>
          <w:rPr>
            <w:rStyle w:val="Hyperlink"/>
          </w:rPr>
          <w:t xml:space="preserve">10.3233/JEM-160421</w:t>
        </w:r>
      </w:hyperlink>
    </w:p>
    <w:bookmarkEnd w:id="146"/>
    <w:bookmarkStart w:id="148"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147">
        <w:r>
          <w:rPr>
            <w:rStyle w:val="Hyperlink"/>
          </w:rPr>
          <w:t xml:space="preserve">https://doi.org/10.1007/s13524-014-0296-7</w:t>
        </w:r>
      </w:hyperlink>
      <w:r>
        <w:t xml:space="preserve">. doi:</w:t>
      </w:r>
      <w:hyperlink r:id="rId147">
        <w:r>
          <w:rPr>
            <w:rStyle w:val="Hyperlink"/>
          </w:rPr>
          <w:t xml:space="preserve">10.1007/s13524-014-0296-7</w:t>
        </w:r>
      </w:hyperlink>
    </w:p>
    <w:bookmarkEnd w:id="148"/>
    <w:bookmarkStart w:id="150"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149">
        <w:r>
          <w:rPr>
            <w:rStyle w:val="Hyperlink"/>
          </w:rPr>
          <w:t xml:space="preserve">https://www.pewresearch.org/social-trends/2011/07/26/wealth-gaps-rise-to-record-highs-between-whites-blacks-hispanics/</w:t>
        </w:r>
      </w:hyperlink>
    </w:p>
    <w:bookmarkEnd w:id="150"/>
    <w:bookmarkStart w:id="151"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51"/>
    <w:bookmarkStart w:id="154"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152">
        <w:r>
          <w:rPr>
            <w:rStyle w:val="Hyperlink"/>
          </w:rPr>
          <w:t xml:space="preserve">https://onlinelibrary.wiley.com/doi/abs/10.1111/roiw.70002</w:t>
        </w:r>
      </w:hyperlink>
      <w:r>
        <w:t xml:space="preserve">. doi:</w:t>
      </w:r>
      <w:hyperlink r:id="rId153">
        <w:r>
          <w:rPr>
            <w:rStyle w:val="Hyperlink"/>
          </w:rPr>
          <w:t xml:space="preserve">10.1111/roiw.70002</w:t>
        </w:r>
      </w:hyperlink>
    </w:p>
    <w:bookmarkEnd w:id="154"/>
    <w:bookmarkStart w:id="157"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55">
        <w:r>
          <w:rPr>
            <w:rStyle w:val="Hyperlink"/>
          </w:rPr>
          <w:t xml:space="preserve">https://www.aeaweb.org/articles?id=10.1257/jep.27.3.79</w:t>
        </w:r>
      </w:hyperlink>
      <w:r>
        <w:t xml:space="preserve">. doi:</w:t>
      </w:r>
      <w:hyperlink r:id="rId156">
        <w:r>
          <w:rPr>
            <w:rStyle w:val="Hyperlink"/>
          </w:rPr>
          <w:t xml:space="preserve">10.1257/jep.27.3.79</w:t>
        </w:r>
      </w:hyperlink>
    </w:p>
    <w:bookmarkEnd w:id="157"/>
    <w:bookmarkStart w:id="159"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58">
        <w:r>
          <w:rPr>
            <w:rStyle w:val="Hyperlink"/>
          </w:rPr>
          <w:t xml:space="preserve">10.1093/sf/sov075</w:t>
        </w:r>
      </w:hyperlink>
    </w:p>
    <w:bookmarkEnd w:id="159"/>
    <w:bookmarkStart w:id="161"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60">
        <w:r>
          <w:rPr>
            <w:rStyle w:val="Hyperlink"/>
          </w:rPr>
          <w:t xml:space="preserve">https://www.jstor.org/stable/10.7758/9781610447805</w:t>
        </w:r>
      </w:hyperlink>
    </w:p>
    <w:bookmarkEnd w:id="161"/>
    <w:bookmarkStart w:id="164"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62">
        <w:r>
          <w:rPr>
            <w:rStyle w:val="Hyperlink"/>
          </w:rPr>
          <w:t xml:space="preserve">https://www.ncbi.nlm.nih.gov/pmc/articles/PMC9874997/</w:t>
        </w:r>
      </w:hyperlink>
      <w:r>
        <w:t xml:space="preserve">. doi:</w:t>
      </w:r>
      <w:hyperlink r:id="rId163">
        <w:r>
          <w:rPr>
            <w:rStyle w:val="Hyperlink"/>
          </w:rPr>
          <w:t xml:space="preserve">10.1093/jssam/smab038</w:t>
        </w:r>
      </w:hyperlink>
    </w:p>
    <w:bookmarkEnd w:id="164"/>
    <w:bookmarkStart w:id="165"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65"/>
    <w:bookmarkStart w:id="168"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66">
        <w:r>
          <w:rPr>
            <w:rStyle w:val="Hyperlink"/>
          </w:rPr>
          <w:t xml:space="preserve">https://www.sciencedirect.com/science/article/pii/0022053170900396</w:t>
        </w:r>
      </w:hyperlink>
      <w:r>
        <w:t xml:space="preserve">. doi:</w:t>
      </w:r>
      <w:hyperlink r:id="rId167">
        <w:r>
          <w:rPr>
            <w:rStyle w:val="Hyperlink"/>
          </w:rPr>
          <w:t xml:space="preserve">10.1016/0022-0531(70)90039-6</w:t>
        </w:r>
      </w:hyperlink>
    </w:p>
    <w:bookmarkEnd w:id="168"/>
    <w:bookmarkStart w:id="171"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69">
        <w:r>
          <w:rPr>
            <w:rStyle w:val="Hyperlink"/>
          </w:rPr>
          <w:t xml:space="preserve">https://www.ncbi.nlm.nih.gov/pmc/articles/PMC2652960/</w:t>
        </w:r>
      </w:hyperlink>
      <w:r>
        <w:t xml:space="preserve">. doi:</w:t>
      </w:r>
      <w:hyperlink r:id="rId170">
        <w:r>
          <w:rPr>
            <w:rStyle w:val="Hyperlink"/>
          </w:rPr>
          <w:t xml:space="preserve">10.1136/jech.2006.052969</w:t>
        </w:r>
      </w:hyperlink>
    </w:p>
    <w:bookmarkEnd w:id="171"/>
    <w:bookmarkStart w:id="174"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72">
        <w:r>
          <w:rPr>
            <w:rStyle w:val="Hyperlink"/>
          </w:rPr>
          <w:t xml:space="preserve">https://www.sciencedirect.com/science/article/pii/S0277953697000440</w:t>
        </w:r>
      </w:hyperlink>
      <w:r>
        <w:t xml:space="preserve">. doi:</w:t>
      </w:r>
      <w:hyperlink r:id="rId173">
        <w:r>
          <w:rPr>
            <w:rStyle w:val="Hyperlink"/>
          </w:rPr>
          <w:t xml:space="preserve">10.1016/S0277-9536(97)00044-0</w:t>
        </w:r>
      </w:hyperlink>
    </w:p>
    <w:bookmarkEnd w:id="174"/>
    <w:bookmarkStart w:id="177"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75">
        <w:r>
          <w:rPr>
            <w:rStyle w:val="Hyperlink"/>
          </w:rPr>
          <w:t xml:space="preserve">https://research.ebsco.com/linkprocessor/plink?id=183a0f60-6b65-3238-9faf-59d099fff528</w:t>
        </w:r>
      </w:hyperlink>
      <w:r>
        <w:t xml:space="preserve">. doi:</w:t>
      </w:r>
      <w:hyperlink r:id="rId176">
        <w:r>
          <w:rPr>
            <w:rStyle w:val="Hyperlink"/>
          </w:rPr>
          <w:t xml:space="preserve">10.1007/s10888-006-9050-8</w:t>
        </w:r>
      </w:hyperlink>
    </w:p>
    <w:bookmarkEnd w:id="177"/>
    <w:bookmarkStart w:id="179" w:name="ref-census_table_2025"/>
    <w:p>
      <w:pPr>
        <w:pStyle w:val="Bibliography"/>
      </w:pPr>
      <w:r>
        <w:t xml:space="preserve">[39]</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78">
        <w:r>
          <w:rPr>
            <w:rStyle w:val="Hyperlink"/>
          </w:rPr>
          <w:t xml:space="preserve">https://www.census.gov/data/tables/time-series/demo/income-poverty/historical-income-inequality.html</w:t>
        </w:r>
      </w:hyperlink>
    </w:p>
    <w:bookmarkEnd w:id="179"/>
    <w:bookmarkStart w:id="180" w:name="ref-wolff_size_209"/>
    <w:p>
      <w:pPr>
        <w:pStyle w:val="Bibliography"/>
      </w:pPr>
      <w:r>
        <w:t xml:space="preserve">[40]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groups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2026-05-29T12:25:21Z</dcterms:created>
  <dcterms:modified xsi:type="dcterms:W3CDTF">2026-05-29T12:25:21Z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May 29,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