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X. Average nuclear family indices (C1, C2, C3) for income and wealth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7"/>
        <w:gridCol w:w="1217"/>
        <w:gridCol w:w="1352"/>
        <w:gridCol w:w="1217"/>
        <w:gridCol w:w="1352"/>
        <w:gridCol w:w="1217"/>
        <w:gridCol w:w="1352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EE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EE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C1 (HH)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EE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C1 (Clan)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EE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C2 (HH)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EE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C2 (Clan)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EE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C3 (HH)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EE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C3 (Clan)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Income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</w:tr>
      <w:tr>
        <w:trPr>
          <w:trHeight w:val="618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Wealth (no home equity)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2025-12-01T10:08:08Z</dcterms:modified>
  <cp:category/>
</cp:coreProperties>
</file>