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3A. Wealth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206"/>
        <w:gridCol w:w="1731"/>
        <w:gridCol w:w="1621"/>
        <w:gridCol w:w="1853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Unique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(Wtd.)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(Unwtd.)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113,579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2,622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490,457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309,391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25,045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2,622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1,884,939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1,402,729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Gini coefficients and distributions based on weighted data using PSID family and clan weights. Wealth is measured exclusive of home equity.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2025-12-01T10:12:52Z</dcterms:modified>
  <cp:category/>
</cp:coreProperties>
</file>