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4: Differences in Inequality by Race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1328"/>
        <w:gridCol w:w="1523"/>
        <w:gridCol w:w="1303"/>
        <w:gridCol w:w="1804"/>
        <w:gridCol w:w="2000"/>
        <w:gridCol w:w="1780"/>
      </w:tblGrid>
      <w:tr>
        <w:trPr>
          <w:trHeight w:val="57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Black 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Non-Black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Non-Black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Non-Black diff</w:t>
            </w:r>
          </w:p>
        </w:tc>
      </w:tr>
      <w:tr>
        <w:trPr>
          <w:trHeight w:val="573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Income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Wealth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0.135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z w:val="18"/>
          <w:szCs w:val="18"/>
          <w:color w:val="000000"/>
        </w:rPr>
        <w:t xml:space="preserve">Note: Gini coefficients and distributions based on weighted data using PSID family and clan weights. Wealth is measured exclusive of home equity.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2025-11-25T14:22:06Z</dcterms:modified>
  <cp:category/>
</cp:coreProperties>
</file>