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1. Comparison of Income and Wealth Inequality for Households and Clans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652"/>
        <w:gridCol w:w="1652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Clans</w:t>
            </w:r>
          </w:p>
        </w:tc>
      </w:tr>
      <w:tr>
        <w:trPr>
          <w:trHeight w:val="77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Income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(SE = 0.008)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(SE = 0.009)</w:t>
            </w:r>
          </w:p>
        </w:tc>
      </w:tr>
      <w:tr>
        <w:trPr>
          <w:trHeight w:val="776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Wealth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(SE = 0.011)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(SE = 0.017)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Standard errors in parentheses.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2025-09-03T12:30:10Z</dcterms:modified>
  <cp:category/>
</cp:coreProperties>
</file>